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36017" w14:textId="602D0046" w:rsidR="00446CEE" w:rsidRPr="00CD7A85" w:rsidRDefault="008C2104" w:rsidP="00703AE3">
      <w:pPr>
        <w:bidi/>
        <w:spacing w:after="120" w:line="360" w:lineRule="auto"/>
        <w:rPr>
          <w:rFonts w:asciiTheme="minorBidi" w:hAnsiTheme="minorBidi" w:cstheme="minorBidi"/>
          <w:b/>
          <w:bCs/>
          <w:sz w:val="22"/>
          <w:szCs w:val="22"/>
          <w:rtl/>
          <w:lang w:bidi="he-IL"/>
        </w:rPr>
      </w:pPr>
      <w:bookmarkStart w:id="0" w:name="_GoBack"/>
      <w:bookmarkEnd w:id="0"/>
      <w:r w:rsidRPr="00CD7A85">
        <w:rPr>
          <w:rFonts w:asciiTheme="minorBidi" w:hAnsiTheme="minorBidi" w:cstheme="minorBidi"/>
          <w:b/>
          <w:bCs/>
          <w:sz w:val="22"/>
          <w:szCs w:val="22"/>
          <w:rtl/>
          <w:lang w:bidi="he-IL"/>
        </w:rPr>
        <w:t xml:space="preserve">דוח </w:t>
      </w:r>
      <w:r w:rsidR="00446CEE" w:rsidRPr="00CD7A85">
        <w:rPr>
          <w:rFonts w:asciiTheme="minorBidi" w:hAnsiTheme="minorBidi" w:cstheme="minorBidi"/>
          <w:b/>
          <w:bCs/>
          <w:sz w:val="22"/>
          <w:szCs w:val="22"/>
          <w:rtl/>
          <w:lang w:bidi="he-IL"/>
        </w:rPr>
        <w:t>"קו לעובד"</w:t>
      </w:r>
      <w:r w:rsidRPr="00CD7A85">
        <w:rPr>
          <w:rFonts w:asciiTheme="minorBidi" w:hAnsiTheme="minorBidi" w:cstheme="minorBidi"/>
          <w:b/>
          <w:bCs/>
          <w:sz w:val="22"/>
          <w:szCs w:val="22"/>
          <w:rtl/>
          <w:lang w:bidi="he-IL"/>
        </w:rPr>
        <w:t xml:space="preserve"> – סיכום מחצית ראשונה 2019</w:t>
      </w:r>
      <w:r w:rsidR="00303741" w:rsidRPr="00CD7A85">
        <w:rPr>
          <w:rFonts w:asciiTheme="minorBidi" w:hAnsiTheme="minorBidi" w:cstheme="minorBidi"/>
          <w:b/>
          <w:bCs/>
          <w:sz w:val="22"/>
          <w:szCs w:val="22"/>
          <w:rtl/>
          <w:lang w:bidi="he-IL"/>
        </w:rPr>
        <w:t xml:space="preserve"> בתאונות עבודה:</w:t>
      </w:r>
    </w:p>
    <w:p w14:paraId="67BAD7C1" w14:textId="050E64A1" w:rsidR="00F17A39" w:rsidRPr="00703AE3" w:rsidRDefault="00F17A39" w:rsidP="0041535C">
      <w:pPr>
        <w:bidi/>
        <w:spacing w:line="360" w:lineRule="auto"/>
        <w:jc w:val="center"/>
        <w:rPr>
          <w:rFonts w:asciiTheme="minorBidi" w:hAnsiTheme="minorBidi" w:cstheme="minorBidi"/>
          <w:b/>
          <w:bCs/>
          <w:color w:val="C00000"/>
          <w:sz w:val="26"/>
          <w:szCs w:val="26"/>
          <w:rtl/>
          <w:lang w:bidi="he-IL"/>
        </w:rPr>
      </w:pPr>
      <w:r w:rsidRPr="00703AE3">
        <w:rPr>
          <w:rFonts w:asciiTheme="minorBidi" w:hAnsiTheme="minorBidi" w:cstheme="minorBidi"/>
          <w:b/>
          <w:bCs/>
          <w:color w:val="C00000"/>
          <w:sz w:val="26"/>
          <w:szCs w:val="26"/>
          <w:rtl/>
          <w:lang w:bidi="he-IL"/>
        </w:rPr>
        <w:t>מספר ההרוגים בתאונות עבודה במחצית הראשונה 2019, הוא הגבוה ביותר ב-5 השנים האחרונות</w:t>
      </w:r>
    </w:p>
    <w:p w14:paraId="1BA0DAD7" w14:textId="3284138B" w:rsidR="00B21DDE" w:rsidRPr="00CD7A85" w:rsidRDefault="00CD7A85" w:rsidP="0041535C">
      <w:pPr>
        <w:bidi/>
        <w:spacing w:line="360" w:lineRule="auto"/>
        <w:jc w:val="center"/>
        <w:rPr>
          <w:rFonts w:asciiTheme="minorBidi" w:hAnsiTheme="minorBidi" w:cstheme="minorBidi"/>
          <w:b/>
          <w:bCs/>
          <w:sz w:val="22"/>
          <w:szCs w:val="22"/>
          <w:rtl/>
          <w:lang w:bidi="he-IL"/>
        </w:rPr>
      </w:pPr>
      <w:r w:rsidRPr="00CD7A85">
        <w:rPr>
          <w:rFonts w:asciiTheme="minorBidi" w:hAnsiTheme="minorBidi" w:cstheme="minorBidi"/>
          <w:noProof/>
          <w:sz w:val="22"/>
          <w:szCs w:val="22"/>
          <w:rtl/>
          <w:lang w:bidi="he-IL"/>
        </w:rPr>
        <mc:AlternateContent>
          <mc:Choice Requires="wps">
            <w:drawing>
              <wp:anchor distT="0" distB="0" distL="114300" distR="114300" simplePos="0" relativeHeight="251662336" behindDoc="1" locked="0" layoutInCell="1" allowOverlap="1" wp14:anchorId="4A123ABF" wp14:editId="502FACD2">
                <wp:simplePos x="0" y="0"/>
                <wp:positionH relativeFrom="column">
                  <wp:posOffset>-230505</wp:posOffset>
                </wp:positionH>
                <wp:positionV relativeFrom="paragraph">
                  <wp:posOffset>111125</wp:posOffset>
                </wp:positionV>
                <wp:extent cx="6536690" cy="4248150"/>
                <wp:effectExtent l="57150" t="38100" r="73660" b="95250"/>
                <wp:wrapNone/>
                <wp:docPr id="4" name="Rounded Rectangle 4"/>
                <wp:cNvGraphicFramePr/>
                <a:graphic xmlns:a="http://schemas.openxmlformats.org/drawingml/2006/main">
                  <a:graphicData uri="http://schemas.microsoft.com/office/word/2010/wordprocessingShape">
                    <wps:wsp>
                      <wps:cNvSpPr/>
                      <wps:spPr>
                        <a:xfrm>
                          <a:off x="0" y="0"/>
                          <a:ext cx="6536690" cy="4248150"/>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76F7" id="Rounded Rectangle 4" o:spid="_x0000_s1026" style="position:absolute;margin-left:-18.15pt;margin-top:8.75pt;width:514.7pt;height:3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" fillcolor="#a7bfde [1620]" strokecolor="#4579b8 [3044]">
                <v:fill color2="#e4ecf5 [500]" rotate="t" angle="180" colors="0 #a3c4ff;22938f #bfd5ff;1 #e5eeff" focus="100%" type="gradient"/>
                <v:shadow on="t" color="black" opacity="24903f" origin=",.5" offset="0,.55556mm"/>
              </v:roundrect>
            </w:pict>
          </mc:Fallback>
        </mc:AlternateContent>
      </w:r>
    </w:p>
    <w:p w14:paraId="2A523F1C" w14:textId="74A4E050" w:rsidR="00303741" w:rsidRPr="00CD7A85" w:rsidRDefault="00303741" w:rsidP="0041535C">
      <w:pPr>
        <w:pStyle w:val="ListParagraph"/>
        <w:bidi/>
        <w:spacing w:after="120" w:line="360" w:lineRule="auto"/>
        <w:contextualSpacing w:val="0"/>
        <w:jc w:val="center"/>
        <w:rPr>
          <w:rFonts w:asciiTheme="minorBidi" w:hAnsiTheme="minorBidi" w:cstheme="minorBidi"/>
          <w:b/>
          <w:bCs/>
          <w:sz w:val="22"/>
          <w:szCs w:val="22"/>
          <w:u w:val="single"/>
          <w:lang w:bidi="he-IL"/>
        </w:rPr>
      </w:pPr>
      <w:r w:rsidRPr="00CD7A85">
        <w:rPr>
          <w:rFonts w:asciiTheme="minorBidi" w:hAnsiTheme="minorBidi" w:cstheme="minorBidi"/>
          <w:b/>
          <w:bCs/>
          <w:sz w:val="22"/>
          <w:szCs w:val="22"/>
          <w:u w:val="single"/>
          <w:rtl/>
          <w:lang w:bidi="he-IL"/>
        </w:rPr>
        <w:t xml:space="preserve">עיקרי </w:t>
      </w:r>
      <w:r w:rsidR="00F41855">
        <w:rPr>
          <w:rFonts w:asciiTheme="minorBidi" w:hAnsiTheme="minorBidi" w:cstheme="minorBidi" w:hint="cs"/>
          <w:b/>
          <w:bCs/>
          <w:sz w:val="22"/>
          <w:szCs w:val="22"/>
          <w:u w:val="single"/>
          <w:rtl/>
          <w:lang w:bidi="he-IL"/>
        </w:rPr>
        <w:t>הדו"ח</w:t>
      </w:r>
    </w:p>
    <w:p w14:paraId="402E90CC" w14:textId="68A58FA1" w:rsidR="00B21DDE" w:rsidRPr="00180EAE" w:rsidRDefault="00FF7657" w:rsidP="0041535C">
      <w:pPr>
        <w:pStyle w:val="ListParagraph"/>
        <w:numPr>
          <w:ilvl w:val="0"/>
          <w:numId w:val="35"/>
        </w:numPr>
        <w:bidi/>
        <w:spacing w:after="120" w:line="360" w:lineRule="auto"/>
        <w:contextualSpacing w:val="0"/>
        <w:jc w:val="both"/>
        <w:rPr>
          <w:rFonts w:asciiTheme="minorBidi" w:hAnsiTheme="minorBidi" w:cstheme="minorBidi"/>
          <w:sz w:val="22"/>
          <w:szCs w:val="22"/>
          <w:lang w:bidi="he-IL"/>
        </w:rPr>
      </w:pPr>
      <w:r w:rsidRPr="00180EAE">
        <w:rPr>
          <w:rFonts w:asciiTheme="minorBidi" w:hAnsiTheme="minorBidi" w:cstheme="minorBidi"/>
          <w:sz w:val="22"/>
          <w:szCs w:val="22"/>
          <w:rtl/>
          <w:lang w:bidi="he-IL"/>
        </w:rPr>
        <w:t>43</w:t>
      </w:r>
      <w:r w:rsidR="008C75DB" w:rsidRPr="00180EAE">
        <w:rPr>
          <w:rFonts w:asciiTheme="minorBidi" w:hAnsiTheme="minorBidi" w:cstheme="minorBidi"/>
          <w:sz w:val="22"/>
          <w:szCs w:val="22"/>
          <w:rtl/>
          <w:lang w:bidi="he-IL"/>
        </w:rPr>
        <w:t xml:space="preserve"> עובדים איבדו את חייהם בתאונות עבודה</w:t>
      </w:r>
      <w:r w:rsidR="003413D1" w:rsidRPr="00180EAE">
        <w:rPr>
          <w:rFonts w:asciiTheme="minorBidi" w:hAnsiTheme="minorBidi" w:cstheme="minorBidi"/>
          <w:sz w:val="22"/>
          <w:szCs w:val="22"/>
          <w:rtl/>
          <w:lang w:bidi="he-IL"/>
        </w:rPr>
        <w:t xml:space="preserve"> </w:t>
      </w:r>
      <w:r w:rsidR="008C75DB" w:rsidRPr="00180EAE">
        <w:rPr>
          <w:rFonts w:asciiTheme="minorBidi" w:hAnsiTheme="minorBidi" w:cstheme="minorBidi"/>
          <w:sz w:val="22"/>
          <w:szCs w:val="22"/>
          <w:rtl/>
          <w:lang w:bidi="he-IL"/>
        </w:rPr>
        <w:t xml:space="preserve">במחצית הראשונה של 2019. זהו </w:t>
      </w:r>
      <w:r w:rsidR="00B21DDE" w:rsidRPr="00180EAE">
        <w:rPr>
          <w:rFonts w:asciiTheme="minorBidi" w:hAnsiTheme="minorBidi" w:cstheme="minorBidi"/>
          <w:sz w:val="22"/>
          <w:szCs w:val="22"/>
          <w:rtl/>
          <w:lang w:bidi="he-IL"/>
        </w:rPr>
        <w:t>מספר ה</w:t>
      </w:r>
      <w:r w:rsidR="008C75DB" w:rsidRPr="00180EAE">
        <w:rPr>
          <w:rFonts w:asciiTheme="minorBidi" w:hAnsiTheme="minorBidi" w:cstheme="minorBidi"/>
          <w:sz w:val="22"/>
          <w:szCs w:val="22"/>
          <w:rtl/>
          <w:lang w:bidi="he-IL"/>
        </w:rPr>
        <w:t xml:space="preserve">הרוגים </w:t>
      </w:r>
      <w:r w:rsidR="00B21DDE" w:rsidRPr="00180EAE">
        <w:rPr>
          <w:rFonts w:asciiTheme="minorBidi" w:hAnsiTheme="minorBidi" w:cstheme="minorBidi"/>
          <w:sz w:val="22"/>
          <w:szCs w:val="22"/>
          <w:rtl/>
          <w:lang w:bidi="he-IL"/>
        </w:rPr>
        <w:t>הגבוה ביותר ב-5 השנים האחרונות, ומהווה עליה של כ-</w:t>
      </w:r>
      <w:r w:rsidRPr="00180EAE">
        <w:rPr>
          <w:rFonts w:asciiTheme="minorBidi" w:hAnsiTheme="minorBidi" w:cstheme="minorBidi"/>
          <w:sz w:val="22"/>
          <w:szCs w:val="22"/>
          <w:rtl/>
          <w:lang w:bidi="he-IL"/>
        </w:rPr>
        <w:t>30</w:t>
      </w:r>
      <w:r w:rsidR="00B21DDE" w:rsidRPr="00180EAE">
        <w:rPr>
          <w:rFonts w:asciiTheme="minorBidi" w:hAnsiTheme="minorBidi" w:cstheme="minorBidi"/>
          <w:sz w:val="22"/>
          <w:szCs w:val="22"/>
          <w:rtl/>
          <w:lang w:bidi="he-IL"/>
        </w:rPr>
        <w:t>% לעומת השנה שחלפה.</w:t>
      </w:r>
      <w:r w:rsidR="00332AA1" w:rsidRPr="00180EAE">
        <w:rPr>
          <w:rFonts w:asciiTheme="minorBidi" w:hAnsiTheme="minorBidi" w:cstheme="minorBidi"/>
          <w:sz w:val="22"/>
          <w:szCs w:val="22"/>
          <w:rtl/>
          <w:lang w:bidi="he-IL"/>
        </w:rPr>
        <w:t xml:space="preserve"> </w:t>
      </w:r>
      <w:r w:rsidR="008E1EF5" w:rsidRPr="00180EAE">
        <w:rPr>
          <w:rFonts w:asciiTheme="minorBidi" w:hAnsiTheme="minorBidi" w:cstheme="minorBidi"/>
          <w:sz w:val="22"/>
          <w:szCs w:val="22"/>
          <w:rtl/>
          <w:lang w:bidi="he-IL"/>
        </w:rPr>
        <w:t xml:space="preserve">נתון זה מהווה </w:t>
      </w:r>
      <w:r w:rsidR="00332AA1" w:rsidRPr="00180EAE">
        <w:rPr>
          <w:rFonts w:asciiTheme="minorBidi" w:hAnsiTheme="minorBidi" w:cstheme="minorBidi"/>
          <w:sz w:val="22"/>
          <w:szCs w:val="22"/>
          <w:rtl/>
          <w:lang w:bidi="he-IL"/>
        </w:rPr>
        <w:t>מגמה הפוכה ליעד שקבע לעצמו משרד העבודה</w:t>
      </w:r>
      <w:r w:rsidR="008E1EF5" w:rsidRPr="00180EAE">
        <w:rPr>
          <w:rFonts w:asciiTheme="minorBidi" w:hAnsiTheme="minorBidi" w:cstheme="minorBidi"/>
          <w:sz w:val="22"/>
          <w:szCs w:val="22"/>
          <w:rtl/>
          <w:lang w:bidi="he-IL"/>
        </w:rPr>
        <w:t xml:space="preserve"> בתכניתו לשנת 2019</w:t>
      </w:r>
      <w:r w:rsidR="00332AA1" w:rsidRPr="00180EAE">
        <w:rPr>
          <w:rFonts w:asciiTheme="minorBidi" w:hAnsiTheme="minorBidi" w:cstheme="minorBidi"/>
          <w:sz w:val="22"/>
          <w:szCs w:val="22"/>
          <w:rtl/>
          <w:lang w:bidi="he-IL"/>
        </w:rPr>
        <w:t xml:space="preserve"> </w:t>
      </w:r>
      <w:r w:rsidR="00793BD8" w:rsidRPr="00180EAE">
        <w:rPr>
          <w:rFonts w:asciiTheme="minorBidi" w:hAnsiTheme="minorBidi" w:cstheme="minorBidi"/>
          <w:sz w:val="22"/>
          <w:szCs w:val="22"/>
          <w:rtl/>
          <w:lang w:bidi="he-IL"/>
        </w:rPr>
        <w:t xml:space="preserve">– </w:t>
      </w:r>
      <w:r w:rsidR="00332AA1" w:rsidRPr="00180EAE">
        <w:rPr>
          <w:rFonts w:asciiTheme="minorBidi" w:hAnsiTheme="minorBidi" w:cstheme="minorBidi"/>
          <w:sz w:val="22"/>
          <w:szCs w:val="22"/>
          <w:rtl/>
          <w:lang w:bidi="he-IL"/>
        </w:rPr>
        <w:t>הורדת מספר ההרוגים</w:t>
      </w:r>
      <w:r w:rsidR="00793BD8" w:rsidRPr="00180EAE">
        <w:rPr>
          <w:rFonts w:asciiTheme="minorBidi" w:hAnsiTheme="minorBidi" w:cstheme="minorBidi"/>
          <w:sz w:val="22"/>
          <w:szCs w:val="22"/>
          <w:rtl/>
          <w:lang w:bidi="he-IL"/>
        </w:rPr>
        <w:t xml:space="preserve"> בכלל הענפים</w:t>
      </w:r>
      <w:r w:rsidR="00332AA1" w:rsidRPr="00180EAE">
        <w:rPr>
          <w:rFonts w:asciiTheme="minorBidi" w:hAnsiTheme="minorBidi" w:cstheme="minorBidi"/>
          <w:sz w:val="22"/>
          <w:szCs w:val="22"/>
          <w:rtl/>
          <w:lang w:bidi="he-IL"/>
        </w:rPr>
        <w:t xml:space="preserve"> ב-10%</w:t>
      </w:r>
      <w:r w:rsidR="008E1EF5" w:rsidRPr="00180EAE">
        <w:rPr>
          <w:rFonts w:asciiTheme="minorBidi" w:hAnsiTheme="minorBidi" w:cstheme="minorBidi"/>
          <w:sz w:val="22"/>
          <w:szCs w:val="22"/>
          <w:rtl/>
          <w:lang w:bidi="he-IL"/>
        </w:rPr>
        <w:t>.</w:t>
      </w:r>
    </w:p>
    <w:p w14:paraId="5575BE7F" w14:textId="08D63C4F" w:rsidR="00446CEE" w:rsidRPr="00180EAE" w:rsidRDefault="002F03B3" w:rsidP="0041535C">
      <w:pPr>
        <w:pStyle w:val="ListParagraph"/>
        <w:numPr>
          <w:ilvl w:val="0"/>
          <w:numId w:val="35"/>
        </w:numPr>
        <w:bidi/>
        <w:spacing w:after="120" w:line="360" w:lineRule="auto"/>
        <w:contextualSpacing w:val="0"/>
        <w:jc w:val="both"/>
        <w:rPr>
          <w:rFonts w:asciiTheme="minorBidi" w:hAnsiTheme="minorBidi" w:cstheme="minorBidi"/>
          <w:sz w:val="22"/>
          <w:szCs w:val="22"/>
          <w:lang w:bidi="he-IL"/>
        </w:rPr>
      </w:pPr>
      <w:r w:rsidRPr="00180EAE">
        <w:rPr>
          <w:rFonts w:asciiTheme="minorBidi" w:hAnsiTheme="minorBidi" w:cstheme="minorBidi"/>
          <w:sz w:val="22"/>
          <w:szCs w:val="22"/>
          <w:rtl/>
          <w:lang w:bidi="he-IL"/>
        </w:rPr>
        <w:t>ענף הבני</w:t>
      </w:r>
      <w:r w:rsidR="00417CD0" w:rsidRPr="00180EAE">
        <w:rPr>
          <w:rFonts w:asciiTheme="minorBidi" w:hAnsiTheme="minorBidi" w:cstheme="minorBidi"/>
          <w:sz w:val="22"/>
          <w:szCs w:val="22"/>
          <w:rtl/>
          <w:lang w:bidi="he-IL"/>
        </w:rPr>
        <w:t>ין הינו</w:t>
      </w:r>
      <w:r w:rsidRPr="00180EAE">
        <w:rPr>
          <w:rFonts w:asciiTheme="minorBidi" w:hAnsiTheme="minorBidi" w:cstheme="minorBidi"/>
          <w:sz w:val="22"/>
          <w:szCs w:val="22"/>
          <w:rtl/>
          <w:lang w:bidi="he-IL"/>
        </w:rPr>
        <w:t xml:space="preserve"> הענף המוביל במספר ההרוגים</w:t>
      </w:r>
      <w:r w:rsidR="003413D1" w:rsidRPr="00180EAE">
        <w:rPr>
          <w:rFonts w:asciiTheme="minorBidi" w:hAnsiTheme="minorBidi" w:cstheme="minorBidi"/>
          <w:sz w:val="22"/>
          <w:szCs w:val="22"/>
          <w:rtl/>
          <w:lang w:bidi="he-IL"/>
        </w:rPr>
        <w:t xml:space="preserve"> </w:t>
      </w:r>
      <w:r w:rsidR="00FF7657" w:rsidRPr="00180EAE">
        <w:rPr>
          <w:rFonts w:asciiTheme="minorBidi" w:hAnsiTheme="minorBidi" w:cstheme="minorBidi"/>
          <w:sz w:val="22"/>
          <w:szCs w:val="22"/>
          <w:rtl/>
          <w:lang w:bidi="he-IL"/>
        </w:rPr>
        <w:t>(24 הרוגים מתוך 43)</w:t>
      </w:r>
      <w:r w:rsidR="00446CEE" w:rsidRPr="00180EAE">
        <w:rPr>
          <w:rFonts w:asciiTheme="minorBidi" w:hAnsiTheme="minorBidi" w:cstheme="minorBidi"/>
          <w:sz w:val="22"/>
          <w:szCs w:val="22"/>
          <w:rtl/>
          <w:lang w:bidi="he-IL"/>
        </w:rPr>
        <w:t xml:space="preserve">, </w:t>
      </w:r>
      <w:r w:rsidR="00B553B7" w:rsidRPr="00180EAE">
        <w:rPr>
          <w:rFonts w:asciiTheme="minorBidi" w:hAnsiTheme="minorBidi" w:cstheme="minorBidi"/>
          <w:sz w:val="22"/>
          <w:szCs w:val="22"/>
          <w:rtl/>
          <w:lang w:bidi="he-IL"/>
        </w:rPr>
        <w:t xml:space="preserve">ומהווה </w:t>
      </w:r>
      <w:r w:rsidR="00F17A39" w:rsidRPr="00180EAE">
        <w:rPr>
          <w:rFonts w:asciiTheme="minorBidi" w:hAnsiTheme="minorBidi" w:cstheme="minorBidi"/>
          <w:sz w:val="22"/>
          <w:szCs w:val="22"/>
          <w:rtl/>
          <w:lang w:bidi="he-IL"/>
        </w:rPr>
        <w:t>כ-60% מתאונות העבודה הקשות והקטלניות במשק הישראלי.</w:t>
      </w:r>
      <w:r w:rsidR="003413D1" w:rsidRPr="00180EAE">
        <w:rPr>
          <w:rFonts w:asciiTheme="minorBidi" w:hAnsiTheme="minorBidi" w:cstheme="minorBidi"/>
          <w:sz w:val="22"/>
          <w:szCs w:val="22"/>
          <w:rtl/>
          <w:lang w:bidi="he-IL"/>
        </w:rPr>
        <w:t xml:space="preserve"> </w:t>
      </w:r>
      <w:r w:rsidR="00F17A39" w:rsidRPr="00180EAE">
        <w:rPr>
          <w:rFonts w:asciiTheme="minorBidi" w:hAnsiTheme="minorBidi" w:cstheme="minorBidi"/>
          <w:sz w:val="22"/>
          <w:szCs w:val="22"/>
          <w:rtl/>
          <w:lang w:bidi="he-IL"/>
        </w:rPr>
        <w:t xml:space="preserve">זאת </w:t>
      </w:r>
      <w:r w:rsidR="00446CEE" w:rsidRPr="00180EAE">
        <w:rPr>
          <w:rFonts w:asciiTheme="minorBidi" w:hAnsiTheme="minorBidi" w:cstheme="minorBidi"/>
          <w:sz w:val="22"/>
          <w:szCs w:val="22"/>
          <w:rtl/>
          <w:lang w:bidi="he-IL"/>
        </w:rPr>
        <w:t xml:space="preserve">למרות שמספר המועסקים בענף הבניה </w:t>
      </w:r>
      <w:r w:rsidR="00B553B7" w:rsidRPr="00180EAE">
        <w:rPr>
          <w:rFonts w:asciiTheme="minorBidi" w:hAnsiTheme="minorBidi" w:cstheme="minorBidi"/>
          <w:sz w:val="22"/>
          <w:szCs w:val="22"/>
          <w:rtl/>
          <w:lang w:bidi="he-IL"/>
        </w:rPr>
        <w:t xml:space="preserve">הינו </w:t>
      </w:r>
      <w:r w:rsidR="00446CEE" w:rsidRPr="00180EAE">
        <w:rPr>
          <w:rFonts w:asciiTheme="minorBidi" w:hAnsiTheme="minorBidi" w:cstheme="minorBidi"/>
          <w:sz w:val="22"/>
          <w:szCs w:val="22"/>
          <w:rtl/>
          <w:lang w:bidi="he-IL"/>
        </w:rPr>
        <w:t>כ-8% בלבד מכלל המועסקים במשק</w:t>
      </w:r>
      <w:r w:rsidRPr="00180EAE">
        <w:rPr>
          <w:rFonts w:asciiTheme="minorBidi" w:hAnsiTheme="minorBidi" w:cstheme="minorBidi"/>
          <w:sz w:val="22"/>
          <w:szCs w:val="22"/>
          <w:rtl/>
          <w:lang w:bidi="he-IL"/>
        </w:rPr>
        <w:t xml:space="preserve">. </w:t>
      </w:r>
      <w:r w:rsidR="00793BD8" w:rsidRPr="00180EAE">
        <w:rPr>
          <w:rFonts w:asciiTheme="minorBidi" w:hAnsiTheme="minorBidi" w:cstheme="minorBidi"/>
          <w:sz w:val="22"/>
          <w:szCs w:val="22"/>
          <w:rtl/>
          <w:lang w:bidi="he-IL"/>
        </w:rPr>
        <w:t>גם כאן מדובר במגמה הפוכה</w:t>
      </w:r>
      <w:r w:rsidR="00B553B7" w:rsidRPr="00180EAE">
        <w:rPr>
          <w:rFonts w:asciiTheme="minorBidi" w:hAnsiTheme="minorBidi" w:cstheme="minorBidi"/>
          <w:sz w:val="22"/>
          <w:szCs w:val="22"/>
          <w:rtl/>
          <w:lang w:bidi="he-IL"/>
        </w:rPr>
        <w:t xml:space="preserve"> ליעד שקבע לעצמו משרד העבודה בת</w:t>
      </w:r>
      <w:r w:rsidR="00793BD8" w:rsidRPr="00180EAE">
        <w:rPr>
          <w:rFonts w:asciiTheme="minorBidi" w:hAnsiTheme="minorBidi" w:cstheme="minorBidi"/>
          <w:sz w:val="22"/>
          <w:szCs w:val="22"/>
          <w:rtl/>
          <w:lang w:bidi="he-IL"/>
        </w:rPr>
        <w:t>כניתו השנתית של 2019 – הורדת מספר ההרוגים בענף הבני</w:t>
      </w:r>
      <w:r w:rsidR="00B553B7" w:rsidRPr="00180EAE">
        <w:rPr>
          <w:rFonts w:asciiTheme="minorBidi" w:hAnsiTheme="minorBidi" w:cstheme="minorBidi"/>
          <w:sz w:val="22"/>
          <w:szCs w:val="22"/>
          <w:rtl/>
          <w:lang w:bidi="he-IL"/>
        </w:rPr>
        <w:t>י</w:t>
      </w:r>
      <w:r w:rsidR="00793BD8" w:rsidRPr="00180EAE">
        <w:rPr>
          <w:rFonts w:asciiTheme="minorBidi" w:hAnsiTheme="minorBidi" w:cstheme="minorBidi"/>
          <w:sz w:val="22"/>
          <w:szCs w:val="22"/>
          <w:rtl/>
          <w:lang w:bidi="he-IL"/>
        </w:rPr>
        <w:t>ן ב-10%.</w:t>
      </w:r>
    </w:p>
    <w:p w14:paraId="2119E68E" w14:textId="77777777" w:rsidR="00B21DDE" w:rsidRPr="00180EAE" w:rsidRDefault="00FF7657" w:rsidP="0041535C">
      <w:pPr>
        <w:pStyle w:val="ListParagraph"/>
        <w:numPr>
          <w:ilvl w:val="0"/>
          <w:numId w:val="35"/>
        </w:numPr>
        <w:bidi/>
        <w:spacing w:after="120" w:line="360" w:lineRule="auto"/>
        <w:contextualSpacing w:val="0"/>
        <w:jc w:val="both"/>
        <w:rPr>
          <w:rFonts w:asciiTheme="minorBidi" w:hAnsiTheme="minorBidi" w:cstheme="minorBidi"/>
          <w:sz w:val="22"/>
          <w:szCs w:val="22"/>
          <w:lang w:bidi="he-IL"/>
        </w:rPr>
      </w:pPr>
      <w:r w:rsidRPr="00180EAE">
        <w:rPr>
          <w:rFonts w:asciiTheme="minorBidi" w:hAnsiTheme="minorBidi" w:cstheme="minorBidi"/>
          <w:sz w:val="22"/>
          <w:szCs w:val="22"/>
          <w:rtl/>
          <w:lang w:bidi="he-IL"/>
        </w:rPr>
        <w:t xml:space="preserve"> </w:t>
      </w:r>
      <w:r w:rsidR="00793BD8" w:rsidRPr="00180EAE">
        <w:rPr>
          <w:rFonts w:asciiTheme="minorBidi" w:hAnsiTheme="minorBidi" w:cstheme="minorBidi"/>
          <w:sz w:val="22"/>
          <w:szCs w:val="22"/>
          <w:rtl/>
          <w:lang w:bidi="he-IL"/>
        </w:rPr>
        <w:t>שני הענפים האחראים לעליה במספר ההרוגים בתאונות עבודה הם: ענף הבניה וענף המסחר ושירותים. בענף הבניה נרשמה עליה של 26% לעומת המחצית הראשונה של 2018, ואילו בענף המסחר והשירותים נרשמה עליה של 66%.</w:t>
      </w:r>
    </w:p>
    <w:p w14:paraId="79AE95F2" w14:textId="1CDAD436" w:rsidR="00967A5E" w:rsidRPr="00F41855" w:rsidRDefault="00645D94" w:rsidP="0041535C">
      <w:pPr>
        <w:pStyle w:val="ListParagraph"/>
        <w:numPr>
          <w:ilvl w:val="0"/>
          <w:numId w:val="35"/>
        </w:numPr>
        <w:bidi/>
        <w:spacing w:after="120" w:line="360" w:lineRule="auto"/>
        <w:contextualSpacing w:val="0"/>
        <w:jc w:val="both"/>
        <w:rPr>
          <w:rFonts w:asciiTheme="minorBidi" w:hAnsiTheme="minorBidi" w:cstheme="minorBidi"/>
          <w:sz w:val="22"/>
          <w:szCs w:val="22"/>
          <w:lang w:bidi="he-IL"/>
        </w:rPr>
      </w:pPr>
      <w:r w:rsidRPr="00F41855">
        <w:rPr>
          <w:rFonts w:asciiTheme="minorBidi" w:hAnsiTheme="minorBidi" w:cstheme="minorBidi"/>
          <w:sz w:val="22"/>
          <w:szCs w:val="22"/>
          <w:rtl/>
          <w:lang w:bidi="he-IL"/>
        </w:rPr>
        <w:t xml:space="preserve">מספר מפקחי העבודה </w:t>
      </w:r>
      <w:r w:rsidR="00B553B7" w:rsidRPr="00F41855">
        <w:rPr>
          <w:rFonts w:asciiTheme="minorBidi" w:hAnsiTheme="minorBidi" w:cstheme="minorBidi"/>
          <w:sz w:val="22"/>
          <w:szCs w:val="22"/>
          <w:rtl/>
          <w:lang w:bidi="he-IL"/>
        </w:rPr>
        <w:t xml:space="preserve">הירוד, </w:t>
      </w:r>
      <w:r w:rsidRPr="00F41855">
        <w:rPr>
          <w:rFonts w:asciiTheme="minorBidi" w:hAnsiTheme="minorBidi" w:cstheme="minorBidi"/>
          <w:sz w:val="22"/>
          <w:szCs w:val="22"/>
          <w:rtl/>
          <w:lang w:bidi="he-IL"/>
        </w:rPr>
        <w:t>וה</w:t>
      </w:r>
      <w:r w:rsidR="00B553B7" w:rsidRPr="00F41855">
        <w:rPr>
          <w:rFonts w:asciiTheme="minorBidi" w:hAnsiTheme="minorBidi" w:cstheme="minorBidi"/>
          <w:sz w:val="22"/>
          <w:szCs w:val="22"/>
          <w:rtl/>
          <w:lang w:bidi="he-IL"/>
        </w:rPr>
        <w:t>י</w:t>
      </w:r>
      <w:r w:rsidRPr="00F41855">
        <w:rPr>
          <w:rFonts w:asciiTheme="minorBidi" w:hAnsiTheme="minorBidi" w:cstheme="minorBidi"/>
          <w:sz w:val="22"/>
          <w:szCs w:val="22"/>
          <w:rtl/>
          <w:lang w:bidi="he-IL"/>
        </w:rPr>
        <w:t xml:space="preserve">עדר רשות לאומית לבטיחות </w:t>
      </w:r>
      <w:r w:rsidR="004008DB" w:rsidRPr="00F41855">
        <w:rPr>
          <w:rFonts w:asciiTheme="minorBidi" w:hAnsiTheme="minorBidi" w:cstheme="minorBidi"/>
          <w:sz w:val="22"/>
          <w:szCs w:val="22"/>
          <w:rtl/>
          <w:lang w:bidi="he-IL"/>
        </w:rPr>
        <w:t>בעבודה</w:t>
      </w:r>
      <w:r w:rsidR="00B553B7" w:rsidRPr="00F41855">
        <w:rPr>
          <w:rFonts w:asciiTheme="minorBidi" w:hAnsiTheme="minorBidi" w:cstheme="minorBidi"/>
          <w:sz w:val="22"/>
          <w:szCs w:val="22"/>
          <w:rtl/>
          <w:lang w:bidi="he-IL"/>
        </w:rPr>
        <w:t>,</w:t>
      </w:r>
      <w:r w:rsidR="004008DB" w:rsidRPr="00F41855">
        <w:rPr>
          <w:rFonts w:asciiTheme="minorBidi" w:hAnsiTheme="minorBidi" w:cstheme="minorBidi"/>
          <w:sz w:val="22"/>
          <w:szCs w:val="22"/>
          <w:rtl/>
          <w:lang w:bidi="he-IL"/>
        </w:rPr>
        <w:t xml:space="preserve"> המכוונת את המדיניות בתחום וקובעת את סדר</w:t>
      </w:r>
      <w:r w:rsidR="00B553B7" w:rsidRPr="00F41855">
        <w:rPr>
          <w:rFonts w:asciiTheme="minorBidi" w:hAnsiTheme="minorBidi" w:cstheme="minorBidi"/>
          <w:sz w:val="22"/>
          <w:szCs w:val="22"/>
          <w:rtl/>
          <w:lang w:bidi="he-IL"/>
        </w:rPr>
        <w:t>י עדיפויות בהתאם לצורכי המשק - הן</w:t>
      </w:r>
      <w:r w:rsidR="004008DB" w:rsidRPr="00F41855">
        <w:rPr>
          <w:rFonts w:asciiTheme="minorBidi" w:hAnsiTheme="minorBidi" w:cstheme="minorBidi"/>
          <w:sz w:val="22"/>
          <w:szCs w:val="22"/>
          <w:rtl/>
          <w:lang w:bidi="he-IL"/>
        </w:rPr>
        <w:t xml:space="preserve"> הסיבות המרכזיות לבטיחות הירודה בשוק העבודה הישראלי. </w:t>
      </w:r>
    </w:p>
    <w:p w14:paraId="4D3BF5CE" w14:textId="64540BE4" w:rsidR="004008DB" w:rsidRPr="00F41855" w:rsidRDefault="00B553B7" w:rsidP="00F41855">
      <w:pPr>
        <w:pStyle w:val="ListParagraph"/>
        <w:numPr>
          <w:ilvl w:val="0"/>
          <w:numId w:val="35"/>
        </w:numPr>
        <w:bidi/>
        <w:spacing w:line="360" w:lineRule="auto"/>
        <w:contextualSpacing w:val="0"/>
        <w:jc w:val="both"/>
        <w:rPr>
          <w:rFonts w:asciiTheme="minorBidi" w:hAnsiTheme="minorBidi" w:cstheme="minorBidi"/>
          <w:sz w:val="22"/>
          <w:szCs w:val="22"/>
          <w:lang w:bidi="he-IL"/>
        </w:rPr>
      </w:pPr>
      <w:r w:rsidRPr="00F41855">
        <w:rPr>
          <w:rFonts w:asciiTheme="minorBidi" w:hAnsiTheme="minorBidi" w:cstheme="minorBidi"/>
          <w:sz w:val="22"/>
          <w:szCs w:val="22"/>
          <w:rtl/>
          <w:lang w:bidi="he-IL"/>
        </w:rPr>
        <w:t xml:space="preserve">מרבית הבטחות </w:t>
      </w:r>
      <w:r w:rsidR="004008DB" w:rsidRPr="00F41855">
        <w:rPr>
          <w:rFonts w:asciiTheme="minorBidi" w:hAnsiTheme="minorBidi" w:cstheme="minorBidi"/>
          <w:sz w:val="22"/>
          <w:szCs w:val="22"/>
          <w:rtl/>
          <w:lang w:bidi="he-IL"/>
        </w:rPr>
        <w:t>משרדי הממשלה השונים לקידום הבטיחות בענף הבניה, האחראי על</w:t>
      </w:r>
      <w:r w:rsidRPr="00F41855">
        <w:rPr>
          <w:rFonts w:asciiTheme="minorBidi" w:hAnsiTheme="minorBidi" w:cstheme="minorBidi"/>
          <w:sz w:val="22"/>
          <w:szCs w:val="22"/>
          <w:rtl/>
          <w:lang w:bidi="he-IL"/>
        </w:rPr>
        <w:t xml:space="preserve"> </w:t>
      </w:r>
      <w:r w:rsidR="004008DB" w:rsidRPr="00F41855">
        <w:rPr>
          <w:rFonts w:asciiTheme="minorBidi" w:hAnsiTheme="minorBidi" w:cstheme="minorBidi"/>
          <w:sz w:val="22"/>
          <w:szCs w:val="22"/>
          <w:rtl/>
          <w:lang w:bidi="he-IL"/>
        </w:rPr>
        <w:t>כ-60</w:t>
      </w:r>
      <w:r w:rsidRPr="00F41855">
        <w:rPr>
          <w:rFonts w:asciiTheme="minorBidi" w:hAnsiTheme="minorBidi" w:cstheme="minorBidi"/>
          <w:sz w:val="22"/>
          <w:szCs w:val="22"/>
          <w:rtl/>
          <w:lang w:bidi="he-IL"/>
        </w:rPr>
        <w:t>% מ</w:t>
      </w:r>
      <w:r w:rsidR="004008DB" w:rsidRPr="00F41855">
        <w:rPr>
          <w:rFonts w:asciiTheme="minorBidi" w:hAnsiTheme="minorBidi" w:cstheme="minorBidi"/>
          <w:sz w:val="22"/>
          <w:szCs w:val="22"/>
          <w:rtl/>
          <w:lang w:bidi="he-IL"/>
        </w:rPr>
        <w:t>תאונות ה</w:t>
      </w:r>
      <w:r w:rsidRPr="00F41855">
        <w:rPr>
          <w:rFonts w:asciiTheme="minorBidi" w:hAnsiTheme="minorBidi" w:cstheme="minorBidi"/>
          <w:sz w:val="22"/>
          <w:szCs w:val="22"/>
          <w:rtl/>
          <w:lang w:bidi="he-IL"/>
        </w:rPr>
        <w:t>עבודה ה</w:t>
      </w:r>
      <w:r w:rsidR="004008DB" w:rsidRPr="00F41855">
        <w:rPr>
          <w:rFonts w:asciiTheme="minorBidi" w:hAnsiTheme="minorBidi" w:cstheme="minorBidi"/>
          <w:sz w:val="22"/>
          <w:szCs w:val="22"/>
          <w:rtl/>
          <w:lang w:bidi="he-IL"/>
        </w:rPr>
        <w:t xml:space="preserve">קטלניות והקשות, </w:t>
      </w:r>
      <w:r w:rsidRPr="00F41855">
        <w:rPr>
          <w:rFonts w:asciiTheme="minorBidi" w:hAnsiTheme="minorBidi" w:cstheme="minorBidi"/>
          <w:sz w:val="22"/>
          <w:szCs w:val="22"/>
          <w:rtl/>
          <w:lang w:bidi="he-IL"/>
        </w:rPr>
        <w:t xml:space="preserve">עדיין מצויות על הנייר בלבד </w:t>
      </w:r>
      <w:r w:rsidR="004008DB" w:rsidRPr="00F41855">
        <w:rPr>
          <w:rFonts w:asciiTheme="minorBidi" w:hAnsiTheme="minorBidi" w:cstheme="minorBidi"/>
          <w:sz w:val="22"/>
          <w:szCs w:val="22"/>
          <w:rtl/>
          <w:lang w:bidi="he-IL"/>
        </w:rPr>
        <w:t>מאז נובמבר 2018.</w:t>
      </w:r>
    </w:p>
    <w:p w14:paraId="6F691101" w14:textId="14CEC028" w:rsidR="00F04BC7" w:rsidRPr="00F41855" w:rsidRDefault="00F04BC7" w:rsidP="00180EAE">
      <w:pPr>
        <w:bidi/>
        <w:spacing w:before="240" w:after="120"/>
        <w:jc w:val="both"/>
        <w:rPr>
          <w:rFonts w:asciiTheme="minorBidi" w:hAnsiTheme="minorBidi" w:cstheme="minorBidi"/>
          <w:b/>
          <w:bCs/>
          <w:sz w:val="28"/>
          <w:szCs w:val="28"/>
          <w:u w:val="single"/>
          <w:rtl/>
          <w:lang w:bidi="he-IL"/>
        </w:rPr>
      </w:pPr>
      <w:r w:rsidRPr="00F41855">
        <w:rPr>
          <w:rFonts w:asciiTheme="minorBidi" w:hAnsiTheme="minorBidi" w:cstheme="minorBidi"/>
          <w:b/>
          <w:bCs/>
          <w:sz w:val="28"/>
          <w:szCs w:val="28"/>
          <w:u w:val="single"/>
          <w:rtl/>
          <w:lang w:bidi="he-IL"/>
        </w:rPr>
        <w:t xml:space="preserve">פירוט הממצאים: </w:t>
      </w:r>
    </w:p>
    <w:p w14:paraId="6D689D67" w14:textId="04396171" w:rsidR="00303741" w:rsidRPr="00CD7A85" w:rsidRDefault="00F41855" w:rsidP="00180EAE">
      <w:pPr>
        <w:bidi/>
        <w:spacing w:after="120"/>
        <w:jc w:val="both"/>
        <w:rPr>
          <w:rFonts w:asciiTheme="minorBidi" w:hAnsiTheme="minorBidi" w:cstheme="minorBidi"/>
          <w:b/>
          <w:bCs/>
          <w:sz w:val="22"/>
          <w:szCs w:val="22"/>
          <w:highlight w:val="yellow"/>
          <w:rtl/>
          <w:lang w:bidi="he-IL"/>
        </w:rPr>
      </w:pPr>
      <w:r w:rsidRPr="00180EAE">
        <w:rPr>
          <w:rFonts w:asciiTheme="minorBidi" w:hAnsiTheme="minorBidi" w:cstheme="minorBidi" w:hint="cs"/>
          <w:b/>
          <w:bCs/>
          <w:sz w:val="22"/>
          <w:szCs w:val="22"/>
          <w:rtl/>
          <w:lang w:bidi="he-IL"/>
        </w:rPr>
        <w:t>195</w:t>
      </w:r>
      <w:r w:rsidR="00F04BC7" w:rsidRPr="00180EAE">
        <w:rPr>
          <w:rFonts w:asciiTheme="minorBidi" w:hAnsiTheme="minorBidi" w:cstheme="minorBidi"/>
          <w:b/>
          <w:bCs/>
          <w:sz w:val="22"/>
          <w:szCs w:val="22"/>
          <w:rtl/>
          <w:lang w:bidi="he-IL"/>
        </w:rPr>
        <w:t xml:space="preserve"> </w:t>
      </w:r>
      <w:r w:rsidR="00303741" w:rsidRPr="00180EAE">
        <w:rPr>
          <w:rFonts w:asciiTheme="minorBidi" w:hAnsiTheme="minorBidi" w:cstheme="minorBidi"/>
          <w:b/>
          <w:bCs/>
          <w:sz w:val="22"/>
          <w:szCs w:val="22"/>
          <w:rtl/>
          <w:lang w:bidi="he-IL"/>
        </w:rPr>
        <w:t xml:space="preserve">תאונות </w:t>
      </w:r>
      <w:r w:rsidR="00F04BC7" w:rsidRPr="00180EAE">
        <w:rPr>
          <w:rFonts w:asciiTheme="minorBidi" w:hAnsiTheme="minorBidi" w:cstheme="minorBidi"/>
          <w:b/>
          <w:bCs/>
          <w:sz w:val="22"/>
          <w:szCs w:val="22"/>
          <w:rtl/>
          <w:lang w:bidi="he-IL"/>
        </w:rPr>
        <w:t>עבודה, 43 הרוגים ו-</w:t>
      </w:r>
      <w:r w:rsidRPr="00180EAE">
        <w:rPr>
          <w:rFonts w:asciiTheme="minorBidi" w:hAnsiTheme="minorBidi" w:cstheme="minorBidi" w:hint="cs"/>
          <w:b/>
          <w:bCs/>
          <w:sz w:val="22"/>
          <w:szCs w:val="22"/>
          <w:rtl/>
          <w:lang w:bidi="he-IL"/>
        </w:rPr>
        <w:t>164</w:t>
      </w:r>
      <w:r w:rsidR="00F04BC7" w:rsidRPr="00180EAE">
        <w:rPr>
          <w:rFonts w:asciiTheme="minorBidi" w:hAnsiTheme="minorBidi" w:cstheme="minorBidi"/>
          <w:b/>
          <w:bCs/>
          <w:sz w:val="22"/>
          <w:szCs w:val="22"/>
          <w:rtl/>
          <w:lang w:bidi="he-IL"/>
        </w:rPr>
        <w:t xml:space="preserve"> פצועים במחצית </w:t>
      </w:r>
      <w:r w:rsidR="00303741" w:rsidRPr="00180EAE">
        <w:rPr>
          <w:rFonts w:asciiTheme="minorBidi" w:hAnsiTheme="minorBidi" w:cstheme="minorBidi"/>
          <w:b/>
          <w:bCs/>
          <w:sz w:val="22"/>
          <w:szCs w:val="22"/>
          <w:rtl/>
          <w:lang w:bidi="he-IL"/>
        </w:rPr>
        <w:t>הראשונה של שנת 2019</w:t>
      </w:r>
      <w:r w:rsidRPr="00180EAE">
        <w:rPr>
          <w:rFonts w:asciiTheme="minorBidi" w:hAnsiTheme="minorBidi" w:cstheme="minorBidi" w:hint="cs"/>
          <w:b/>
          <w:bCs/>
          <w:sz w:val="22"/>
          <w:szCs w:val="22"/>
          <w:rtl/>
          <w:lang w:bidi="he-IL"/>
        </w:rPr>
        <w:t>.</w:t>
      </w:r>
    </w:p>
    <w:p w14:paraId="14C62D22" w14:textId="53CBFCBD" w:rsidR="00205460" w:rsidRPr="00CD7A85" w:rsidRDefault="00C52A27" w:rsidP="0041535C">
      <w:pPr>
        <w:bidi/>
        <w:spacing w:after="120" w:line="360" w:lineRule="auto"/>
        <w:rPr>
          <w:rFonts w:asciiTheme="minorBidi" w:hAnsiTheme="minorBidi" w:cstheme="minorBidi"/>
          <w:sz w:val="22"/>
          <w:szCs w:val="22"/>
          <w:u w:val="single"/>
          <w:rtl/>
          <w:lang w:bidi="he-IL"/>
        </w:rPr>
      </w:pPr>
      <w:r w:rsidRPr="00CD7A85">
        <w:rPr>
          <w:rFonts w:asciiTheme="minorBidi" w:hAnsiTheme="minorBidi" w:cstheme="minorBidi"/>
          <w:sz w:val="22"/>
          <w:szCs w:val="22"/>
          <w:u w:val="single"/>
          <w:rtl/>
          <w:lang w:bidi="he-IL"/>
        </w:rPr>
        <w:t xml:space="preserve">בטבלה להלן </w:t>
      </w:r>
      <w:r w:rsidR="00303741" w:rsidRPr="00CD7A85">
        <w:rPr>
          <w:rFonts w:asciiTheme="minorBidi" w:hAnsiTheme="minorBidi" w:cstheme="minorBidi"/>
          <w:sz w:val="22"/>
          <w:szCs w:val="22"/>
          <w:u w:val="single"/>
          <w:rtl/>
          <w:lang w:bidi="he-IL"/>
        </w:rPr>
        <w:t>ה</w:t>
      </w:r>
      <w:r w:rsidRPr="00CD7A85">
        <w:rPr>
          <w:rFonts w:asciiTheme="minorBidi" w:hAnsiTheme="minorBidi" w:cstheme="minorBidi"/>
          <w:sz w:val="22"/>
          <w:szCs w:val="22"/>
          <w:u w:val="single"/>
          <w:rtl/>
          <w:lang w:bidi="he-IL"/>
        </w:rPr>
        <w:t xml:space="preserve">פירוט </w:t>
      </w:r>
      <w:r w:rsidR="00303741" w:rsidRPr="00CD7A85">
        <w:rPr>
          <w:rFonts w:asciiTheme="minorBidi" w:hAnsiTheme="minorBidi" w:cstheme="minorBidi"/>
          <w:sz w:val="22"/>
          <w:szCs w:val="22"/>
          <w:u w:val="single"/>
          <w:rtl/>
          <w:lang w:bidi="he-IL"/>
        </w:rPr>
        <w:t xml:space="preserve">המלא של </w:t>
      </w:r>
      <w:r w:rsidRPr="00CD7A85">
        <w:rPr>
          <w:rFonts w:asciiTheme="minorBidi" w:hAnsiTheme="minorBidi" w:cstheme="minorBidi"/>
          <w:sz w:val="22"/>
          <w:szCs w:val="22"/>
          <w:u w:val="single"/>
          <w:rtl/>
          <w:lang w:bidi="he-IL"/>
        </w:rPr>
        <w:t>תאונות העבודה לפי חודש:</w:t>
      </w:r>
      <w:r w:rsidR="00205460" w:rsidRPr="00CD7A85">
        <w:rPr>
          <w:rFonts w:asciiTheme="minorBidi" w:hAnsiTheme="minorBidi" w:cstheme="minorBidi"/>
          <w:sz w:val="22"/>
          <w:szCs w:val="22"/>
          <w:u w:val="single"/>
          <w:rtl/>
          <w:lang w:bidi="he-IL"/>
        </w:rPr>
        <w:t xml:space="preserve"> </w:t>
      </w:r>
    </w:p>
    <w:tbl>
      <w:tblPr>
        <w:bidiVisual/>
        <w:tblW w:w="0" w:type="auto"/>
        <w:jc w:val="center"/>
        <w:tblCellMar>
          <w:top w:w="15" w:type="dxa"/>
          <w:left w:w="15" w:type="dxa"/>
          <w:bottom w:w="15" w:type="dxa"/>
          <w:right w:w="15" w:type="dxa"/>
        </w:tblCellMar>
        <w:tblLook w:val="04A0" w:firstRow="1" w:lastRow="0" w:firstColumn="1" w:lastColumn="0" w:noHBand="0" w:noVBand="1"/>
      </w:tblPr>
      <w:tblGrid>
        <w:gridCol w:w="904"/>
        <w:gridCol w:w="1185"/>
        <w:gridCol w:w="1165"/>
        <w:gridCol w:w="2799"/>
      </w:tblGrid>
      <w:tr w:rsidR="00205460" w:rsidRPr="00180EAE" w14:paraId="1B796145" w14:textId="77777777" w:rsidTr="00F41855">
        <w:trPr>
          <w:jc w:val="center"/>
        </w:trPr>
        <w:tc>
          <w:tcPr>
            <w:tcW w:w="0" w:type="auto"/>
            <w:tcBorders>
              <w:top w:val="single" w:sz="8" w:space="0" w:color="FFFFFF"/>
              <w:left w:val="single" w:sz="8" w:space="0" w:color="FFFFFF"/>
              <w:bottom w:val="single" w:sz="4" w:space="0" w:color="000000"/>
              <w:right w:val="single" w:sz="8" w:space="0" w:color="FFFFFF"/>
            </w:tcBorders>
            <w:shd w:val="clear" w:color="auto" w:fill="4F81BD"/>
            <w:tcMar>
              <w:top w:w="0" w:type="dxa"/>
              <w:left w:w="115" w:type="dxa"/>
              <w:bottom w:w="0" w:type="dxa"/>
              <w:right w:w="115" w:type="dxa"/>
            </w:tcMar>
            <w:hideMark/>
          </w:tcPr>
          <w:p w14:paraId="11BE3F9E" w14:textId="77777777" w:rsidR="00205460" w:rsidRPr="00CD7A85" w:rsidRDefault="00205460" w:rsidP="00F41855">
            <w:pPr>
              <w:rPr>
                <w:rFonts w:asciiTheme="minorBidi" w:hAnsiTheme="minorBidi" w:cstheme="minorBidi"/>
                <w:sz w:val="22"/>
                <w:szCs w:val="22"/>
                <w:rtl/>
              </w:rPr>
            </w:pP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0" w:type="dxa"/>
              <w:left w:w="115" w:type="dxa"/>
              <w:bottom w:w="0" w:type="dxa"/>
              <w:right w:w="115" w:type="dxa"/>
            </w:tcMar>
            <w:hideMark/>
          </w:tcPr>
          <w:p w14:paraId="4A9B4C74" w14:textId="77777777" w:rsidR="00205460" w:rsidRPr="00180EAE" w:rsidRDefault="00205460" w:rsidP="00F41855">
            <w:pPr>
              <w:pStyle w:val="NormalWeb"/>
              <w:bidi/>
              <w:spacing w:before="0" w:beforeAutospacing="0" w:after="0" w:afterAutospacing="0"/>
              <w:jc w:val="center"/>
              <w:rPr>
                <w:rFonts w:asciiTheme="minorBidi" w:hAnsiTheme="minorBidi" w:cstheme="minorBidi"/>
                <w:color w:val="FFFFFF"/>
                <w:sz w:val="22"/>
                <w:szCs w:val="22"/>
                <w:lang w:bidi="he-IL"/>
              </w:rPr>
            </w:pPr>
            <w:r w:rsidRPr="00180EAE">
              <w:rPr>
                <w:rFonts w:asciiTheme="minorBidi" w:hAnsiTheme="minorBidi" w:cstheme="minorBidi"/>
                <w:color w:val="FFFFFF"/>
                <w:sz w:val="22"/>
                <w:szCs w:val="22"/>
                <w:rtl/>
                <w:lang w:bidi="he-IL"/>
              </w:rPr>
              <w:t>מס' תאונות</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0" w:type="dxa"/>
              <w:left w:w="115" w:type="dxa"/>
              <w:bottom w:w="0" w:type="dxa"/>
              <w:right w:w="115" w:type="dxa"/>
            </w:tcMar>
            <w:hideMark/>
          </w:tcPr>
          <w:p w14:paraId="42D0DB3D" w14:textId="77777777" w:rsidR="00205460" w:rsidRPr="00180EAE" w:rsidRDefault="00205460" w:rsidP="00F41855">
            <w:pPr>
              <w:pStyle w:val="NormalWeb"/>
              <w:bidi/>
              <w:spacing w:before="0" w:beforeAutospacing="0" w:after="0" w:afterAutospacing="0"/>
              <w:jc w:val="center"/>
              <w:rPr>
                <w:rFonts w:asciiTheme="minorBidi" w:hAnsiTheme="minorBidi" w:cstheme="minorBidi"/>
                <w:sz w:val="22"/>
                <w:szCs w:val="22"/>
                <w:rtl/>
                <w:lang w:bidi="he-IL"/>
              </w:rPr>
            </w:pPr>
            <w:r w:rsidRPr="00180EAE">
              <w:rPr>
                <w:rFonts w:asciiTheme="minorBidi" w:hAnsiTheme="minorBidi" w:cstheme="minorBidi"/>
                <w:color w:val="FFFFFF"/>
                <w:sz w:val="22"/>
                <w:szCs w:val="22"/>
                <w:rtl/>
                <w:lang w:bidi="he-IL"/>
              </w:rPr>
              <w:t xml:space="preserve">מס' הרוגים </w:t>
            </w:r>
          </w:p>
        </w:tc>
        <w:tc>
          <w:tcPr>
            <w:tcW w:w="2799" w:type="dxa"/>
            <w:tcBorders>
              <w:top w:val="single" w:sz="8" w:space="0" w:color="FFFFFF"/>
              <w:left w:val="single" w:sz="8" w:space="0" w:color="FFFFFF"/>
              <w:bottom w:val="single" w:sz="24" w:space="0" w:color="FFFFFF"/>
              <w:right w:val="single" w:sz="8" w:space="0" w:color="FFFFFF"/>
            </w:tcBorders>
            <w:shd w:val="clear" w:color="auto" w:fill="4F81BD"/>
            <w:tcMar>
              <w:top w:w="0" w:type="dxa"/>
              <w:left w:w="115" w:type="dxa"/>
              <w:bottom w:w="0" w:type="dxa"/>
              <w:right w:w="115" w:type="dxa"/>
            </w:tcMar>
            <w:hideMark/>
          </w:tcPr>
          <w:p w14:paraId="437FDE21" w14:textId="0DEC7DC7" w:rsidR="00205460" w:rsidRPr="00180EAE" w:rsidRDefault="00205460" w:rsidP="00F41855">
            <w:pPr>
              <w:pStyle w:val="NormalWeb"/>
              <w:bidi/>
              <w:spacing w:before="0" w:beforeAutospacing="0" w:after="0" w:afterAutospacing="0"/>
              <w:jc w:val="center"/>
              <w:rPr>
                <w:rFonts w:asciiTheme="minorBidi" w:hAnsiTheme="minorBidi" w:cstheme="minorBidi"/>
                <w:sz w:val="22"/>
                <w:szCs w:val="22"/>
                <w:rtl/>
              </w:rPr>
            </w:pPr>
            <w:r w:rsidRPr="00180EAE">
              <w:rPr>
                <w:rFonts w:asciiTheme="minorBidi" w:hAnsiTheme="minorBidi" w:cstheme="minorBidi"/>
                <w:color w:val="FFFFFF"/>
                <w:sz w:val="22"/>
                <w:szCs w:val="22"/>
                <w:rtl/>
                <w:lang w:bidi="he-IL"/>
              </w:rPr>
              <w:t>מס' פצועים</w:t>
            </w:r>
            <w:r w:rsidR="00F41855" w:rsidRPr="00180EAE">
              <w:rPr>
                <w:rFonts w:asciiTheme="minorBidi" w:hAnsiTheme="minorBidi" w:cstheme="minorBidi" w:hint="cs"/>
                <w:color w:val="FFFFFF"/>
                <w:sz w:val="22"/>
                <w:szCs w:val="22"/>
                <w:rtl/>
                <w:lang w:bidi="he-IL"/>
              </w:rPr>
              <w:t xml:space="preserve"> (</w:t>
            </w:r>
            <w:r w:rsidRPr="00180EAE">
              <w:rPr>
                <w:rFonts w:asciiTheme="minorBidi" w:hAnsiTheme="minorBidi" w:cstheme="minorBidi"/>
                <w:color w:val="FFFFFF"/>
                <w:sz w:val="22"/>
                <w:szCs w:val="22"/>
                <w:rtl/>
                <w:lang w:bidi="he-IL"/>
              </w:rPr>
              <w:t>קשה-בינוני</w:t>
            </w:r>
            <w:r w:rsidR="00F41855" w:rsidRPr="00180EAE">
              <w:rPr>
                <w:rFonts w:asciiTheme="minorBidi" w:hAnsiTheme="minorBidi" w:cstheme="minorBidi" w:hint="cs"/>
                <w:color w:val="FFFFFF"/>
                <w:sz w:val="22"/>
                <w:szCs w:val="22"/>
                <w:rtl/>
                <w:lang w:bidi="he-IL"/>
              </w:rPr>
              <w:t>)</w:t>
            </w:r>
          </w:p>
        </w:tc>
      </w:tr>
      <w:tr w:rsidR="00205460" w:rsidRPr="00180EAE" w14:paraId="2E3523D2" w14:textId="77777777" w:rsidTr="00F41855">
        <w:trPr>
          <w:jc w:val="center"/>
        </w:trPr>
        <w:tc>
          <w:tcPr>
            <w:tcW w:w="0" w:type="auto"/>
            <w:tcBorders>
              <w:top w:val="single" w:sz="4" w:space="0" w:color="000000"/>
              <w:left w:val="single" w:sz="24" w:space="0" w:color="FFFFFF"/>
              <w:bottom w:val="single" w:sz="4" w:space="0" w:color="000000"/>
              <w:right w:val="single" w:sz="8" w:space="0" w:color="FFFFFF"/>
            </w:tcBorders>
            <w:shd w:val="clear" w:color="auto" w:fill="4F81BD"/>
            <w:tcMar>
              <w:top w:w="0" w:type="dxa"/>
              <w:left w:w="115" w:type="dxa"/>
              <w:bottom w:w="0" w:type="dxa"/>
              <w:right w:w="115" w:type="dxa"/>
            </w:tcMar>
            <w:hideMark/>
          </w:tcPr>
          <w:p w14:paraId="1A956045" w14:textId="77777777" w:rsidR="00205460" w:rsidRPr="00180EAE" w:rsidRDefault="00205460" w:rsidP="00F41855">
            <w:pPr>
              <w:pStyle w:val="NormalWeb"/>
              <w:bidi/>
              <w:spacing w:before="0" w:beforeAutospacing="0" w:after="0" w:afterAutospacing="0"/>
              <w:jc w:val="center"/>
              <w:rPr>
                <w:rFonts w:asciiTheme="minorBidi" w:hAnsiTheme="minorBidi" w:cstheme="minorBidi"/>
                <w:sz w:val="22"/>
                <w:szCs w:val="22"/>
                <w:rtl/>
              </w:rPr>
            </w:pPr>
            <w:r w:rsidRPr="00180EAE">
              <w:rPr>
                <w:rFonts w:asciiTheme="minorBidi" w:hAnsiTheme="minorBidi" w:cstheme="minorBidi"/>
                <w:b/>
                <w:bCs/>
                <w:color w:val="FFFFFF"/>
                <w:sz w:val="22"/>
                <w:szCs w:val="22"/>
                <w:rtl/>
                <w:lang w:bidi="he-IL"/>
              </w:rPr>
              <w:t>ינואר</w:t>
            </w:r>
          </w:p>
        </w:tc>
        <w:tc>
          <w:tcPr>
            <w:tcW w:w="0" w:type="auto"/>
            <w:tcBorders>
              <w:top w:val="single" w:sz="24" w:space="0" w:color="FFFFFF"/>
              <w:left w:val="single" w:sz="8" w:space="0" w:color="FFFFFF"/>
              <w:bottom w:val="single" w:sz="8" w:space="0" w:color="FFFFFF"/>
              <w:right w:val="single" w:sz="24" w:space="0" w:color="FFFFFF"/>
            </w:tcBorders>
            <w:shd w:val="clear" w:color="auto" w:fill="A7C0DE"/>
            <w:tcMar>
              <w:top w:w="0" w:type="dxa"/>
              <w:left w:w="115" w:type="dxa"/>
              <w:bottom w:w="0" w:type="dxa"/>
              <w:right w:w="115" w:type="dxa"/>
            </w:tcMar>
          </w:tcPr>
          <w:p w14:paraId="6F9B067D" w14:textId="77777777" w:rsidR="00205460" w:rsidRPr="00180EAE" w:rsidRDefault="00642637" w:rsidP="00F41855">
            <w:pPr>
              <w:pStyle w:val="NormalWeb"/>
              <w:bidi/>
              <w:spacing w:before="0" w:beforeAutospacing="0" w:after="0" w:afterAutospacing="0"/>
              <w:jc w:val="center"/>
              <w:rPr>
                <w:rFonts w:asciiTheme="minorBidi" w:hAnsiTheme="minorBidi" w:cstheme="minorBidi"/>
                <w:sz w:val="22"/>
                <w:szCs w:val="22"/>
                <w:rtl/>
                <w:lang w:bidi="he-IL"/>
              </w:rPr>
            </w:pPr>
            <w:r w:rsidRPr="00180EAE">
              <w:rPr>
                <w:rFonts w:asciiTheme="minorBidi" w:hAnsiTheme="minorBidi" w:cstheme="minorBidi"/>
                <w:sz w:val="22"/>
                <w:szCs w:val="22"/>
                <w:rtl/>
                <w:lang w:bidi="he-IL"/>
              </w:rPr>
              <w:t>24</w:t>
            </w:r>
          </w:p>
        </w:tc>
        <w:tc>
          <w:tcPr>
            <w:tcW w:w="0" w:type="auto"/>
            <w:tcBorders>
              <w:top w:val="single" w:sz="24" w:space="0" w:color="FFFFFF"/>
              <w:left w:val="single" w:sz="8" w:space="0" w:color="FFFFFF"/>
              <w:bottom w:val="single" w:sz="8" w:space="0" w:color="FFFFFF"/>
              <w:right w:val="single" w:sz="8" w:space="0" w:color="FFFFFF"/>
            </w:tcBorders>
            <w:shd w:val="clear" w:color="auto" w:fill="A7C0DE"/>
            <w:tcMar>
              <w:top w:w="0" w:type="dxa"/>
              <w:left w:w="115" w:type="dxa"/>
              <w:bottom w:w="0" w:type="dxa"/>
              <w:right w:w="115" w:type="dxa"/>
            </w:tcMar>
          </w:tcPr>
          <w:p w14:paraId="2954D7EE" w14:textId="77777777" w:rsidR="00205460" w:rsidRPr="00180EAE" w:rsidRDefault="00205460" w:rsidP="00F41855">
            <w:pPr>
              <w:pStyle w:val="NormalWeb"/>
              <w:bidi/>
              <w:spacing w:before="0" w:beforeAutospacing="0" w:after="0" w:afterAutospacing="0"/>
              <w:jc w:val="center"/>
              <w:rPr>
                <w:rFonts w:asciiTheme="minorBidi" w:hAnsiTheme="minorBidi" w:cstheme="minorBidi"/>
                <w:sz w:val="22"/>
                <w:szCs w:val="22"/>
                <w:rtl/>
                <w:lang w:bidi="he-IL"/>
              </w:rPr>
            </w:pPr>
            <w:r w:rsidRPr="00180EAE">
              <w:rPr>
                <w:rFonts w:asciiTheme="minorBidi" w:hAnsiTheme="minorBidi" w:cstheme="minorBidi"/>
                <w:sz w:val="22"/>
                <w:szCs w:val="22"/>
                <w:rtl/>
                <w:lang w:bidi="he-IL"/>
              </w:rPr>
              <w:t>6</w:t>
            </w:r>
          </w:p>
        </w:tc>
        <w:tc>
          <w:tcPr>
            <w:tcW w:w="2799" w:type="dxa"/>
            <w:tcBorders>
              <w:top w:val="single" w:sz="24" w:space="0" w:color="FFFFFF"/>
              <w:left w:val="single" w:sz="8" w:space="0" w:color="FFFFFF"/>
              <w:bottom w:val="single" w:sz="8" w:space="0" w:color="FFFFFF"/>
              <w:right w:val="single" w:sz="8" w:space="0" w:color="FFFFFF"/>
            </w:tcBorders>
            <w:shd w:val="clear" w:color="auto" w:fill="A7C0DE"/>
            <w:tcMar>
              <w:top w:w="0" w:type="dxa"/>
              <w:left w:w="115" w:type="dxa"/>
              <w:bottom w:w="0" w:type="dxa"/>
              <w:right w:w="115" w:type="dxa"/>
            </w:tcMar>
          </w:tcPr>
          <w:p w14:paraId="36EC9C4E" w14:textId="77777777" w:rsidR="00205460" w:rsidRPr="00180EAE" w:rsidRDefault="00205460" w:rsidP="00F41855">
            <w:pPr>
              <w:pStyle w:val="NormalWeb"/>
              <w:bidi/>
              <w:spacing w:before="0" w:beforeAutospacing="0" w:after="0" w:afterAutospacing="0"/>
              <w:jc w:val="center"/>
              <w:rPr>
                <w:rFonts w:asciiTheme="minorBidi" w:hAnsiTheme="minorBidi" w:cstheme="minorBidi"/>
                <w:sz w:val="22"/>
                <w:szCs w:val="22"/>
                <w:rtl/>
                <w:lang w:bidi="he-IL"/>
              </w:rPr>
            </w:pPr>
            <w:r w:rsidRPr="00180EAE">
              <w:rPr>
                <w:rFonts w:asciiTheme="minorBidi" w:hAnsiTheme="minorBidi" w:cstheme="minorBidi"/>
                <w:sz w:val="22"/>
                <w:szCs w:val="22"/>
                <w:rtl/>
                <w:lang w:bidi="he-IL"/>
              </w:rPr>
              <w:t>20</w:t>
            </w:r>
          </w:p>
        </w:tc>
      </w:tr>
      <w:tr w:rsidR="00205460" w:rsidRPr="00180EAE" w14:paraId="2E202097" w14:textId="77777777" w:rsidTr="00F41855">
        <w:trPr>
          <w:jc w:val="center"/>
        </w:trPr>
        <w:tc>
          <w:tcPr>
            <w:tcW w:w="0" w:type="auto"/>
            <w:tcBorders>
              <w:top w:val="single" w:sz="4" w:space="0" w:color="000000"/>
              <w:left w:val="single" w:sz="24" w:space="0" w:color="FFFFFF"/>
              <w:bottom w:val="single" w:sz="4" w:space="0" w:color="000000"/>
              <w:right w:val="single" w:sz="8" w:space="0" w:color="FFFFFF"/>
            </w:tcBorders>
            <w:shd w:val="clear" w:color="auto" w:fill="4F81BD"/>
            <w:tcMar>
              <w:top w:w="0" w:type="dxa"/>
              <w:left w:w="115" w:type="dxa"/>
              <w:bottom w:w="0" w:type="dxa"/>
              <w:right w:w="115" w:type="dxa"/>
            </w:tcMar>
            <w:hideMark/>
          </w:tcPr>
          <w:p w14:paraId="47ABEDB4" w14:textId="77777777" w:rsidR="00205460" w:rsidRPr="00180EAE" w:rsidRDefault="00205460" w:rsidP="00F41855">
            <w:pPr>
              <w:pStyle w:val="NormalWeb"/>
              <w:bidi/>
              <w:spacing w:before="0" w:beforeAutospacing="0" w:after="0" w:afterAutospacing="0"/>
              <w:jc w:val="center"/>
              <w:rPr>
                <w:rFonts w:asciiTheme="minorBidi" w:hAnsiTheme="minorBidi" w:cstheme="minorBidi"/>
                <w:sz w:val="22"/>
                <w:szCs w:val="22"/>
                <w:rtl/>
              </w:rPr>
            </w:pPr>
            <w:r w:rsidRPr="00180EAE">
              <w:rPr>
                <w:rFonts w:asciiTheme="minorBidi" w:hAnsiTheme="minorBidi" w:cstheme="minorBidi"/>
                <w:b/>
                <w:bCs/>
                <w:color w:val="FFFFFF"/>
                <w:sz w:val="22"/>
                <w:szCs w:val="22"/>
                <w:rtl/>
                <w:lang w:bidi="he-IL"/>
              </w:rPr>
              <w:t>פברואר</w:t>
            </w:r>
          </w:p>
        </w:tc>
        <w:tc>
          <w:tcPr>
            <w:tcW w:w="0" w:type="auto"/>
            <w:tcBorders>
              <w:top w:val="single" w:sz="8" w:space="0" w:color="FFFFFF"/>
              <w:left w:val="single" w:sz="4" w:space="0" w:color="95B3D7"/>
              <w:bottom w:val="single" w:sz="8" w:space="0" w:color="FFFFFF"/>
              <w:right w:val="single" w:sz="24" w:space="0" w:color="FFFFFF"/>
            </w:tcBorders>
            <w:shd w:val="clear" w:color="auto" w:fill="D3DFEE"/>
            <w:tcMar>
              <w:top w:w="0" w:type="dxa"/>
              <w:left w:w="115" w:type="dxa"/>
              <w:bottom w:w="0" w:type="dxa"/>
              <w:right w:w="115" w:type="dxa"/>
            </w:tcMar>
          </w:tcPr>
          <w:p w14:paraId="29CAF7FF" w14:textId="77777777" w:rsidR="00205460" w:rsidRPr="00180EAE" w:rsidRDefault="00642637" w:rsidP="00F41855">
            <w:pPr>
              <w:pStyle w:val="NormalWeb"/>
              <w:bidi/>
              <w:spacing w:before="0" w:beforeAutospacing="0" w:after="0" w:afterAutospacing="0"/>
              <w:jc w:val="center"/>
              <w:rPr>
                <w:rFonts w:asciiTheme="minorBidi" w:hAnsiTheme="minorBidi" w:cstheme="minorBidi"/>
                <w:color w:val="000000"/>
                <w:sz w:val="22"/>
                <w:szCs w:val="22"/>
                <w:rtl/>
                <w:lang w:bidi="he-IL"/>
              </w:rPr>
            </w:pPr>
            <w:r w:rsidRPr="00180EAE">
              <w:rPr>
                <w:rFonts w:asciiTheme="minorBidi" w:hAnsiTheme="minorBidi" w:cstheme="minorBidi"/>
                <w:color w:val="000000"/>
                <w:sz w:val="22"/>
                <w:szCs w:val="22"/>
                <w:rtl/>
                <w:lang w:bidi="he-IL"/>
              </w:rPr>
              <w:t>32</w:t>
            </w:r>
          </w:p>
        </w:tc>
        <w:tc>
          <w:tcPr>
            <w:tcW w:w="0" w:type="auto"/>
            <w:tcBorders>
              <w:top w:val="single" w:sz="8" w:space="0" w:color="FFFFFF"/>
              <w:left w:val="single" w:sz="4" w:space="0" w:color="95B3D7"/>
              <w:bottom w:val="single" w:sz="8" w:space="0" w:color="FFFFFF"/>
              <w:right w:val="single" w:sz="4" w:space="0" w:color="95B3D7"/>
            </w:tcBorders>
            <w:shd w:val="clear" w:color="auto" w:fill="D3DFEE"/>
            <w:tcMar>
              <w:top w:w="0" w:type="dxa"/>
              <w:left w:w="115" w:type="dxa"/>
              <w:bottom w:w="0" w:type="dxa"/>
              <w:right w:w="115" w:type="dxa"/>
            </w:tcMar>
          </w:tcPr>
          <w:p w14:paraId="6A98B0CD" w14:textId="77777777" w:rsidR="00205460" w:rsidRPr="00180EAE" w:rsidRDefault="00205460" w:rsidP="00F41855">
            <w:pPr>
              <w:pStyle w:val="NormalWeb"/>
              <w:bidi/>
              <w:spacing w:before="0" w:beforeAutospacing="0" w:after="0" w:afterAutospacing="0"/>
              <w:jc w:val="center"/>
              <w:rPr>
                <w:rFonts w:asciiTheme="minorBidi" w:hAnsiTheme="minorBidi" w:cstheme="minorBidi"/>
                <w:sz w:val="22"/>
                <w:szCs w:val="22"/>
                <w:rtl/>
                <w:lang w:bidi="he-IL"/>
              </w:rPr>
            </w:pPr>
            <w:r w:rsidRPr="00180EAE">
              <w:rPr>
                <w:rFonts w:asciiTheme="minorBidi" w:hAnsiTheme="minorBidi" w:cstheme="minorBidi"/>
                <w:sz w:val="22"/>
                <w:szCs w:val="22"/>
                <w:rtl/>
                <w:lang w:bidi="he-IL"/>
              </w:rPr>
              <w:t>6</w:t>
            </w:r>
          </w:p>
        </w:tc>
        <w:tc>
          <w:tcPr>
            <w:tcW w:w="2799" w:type="dxa"/>
            <w:tcBorders>
              <w:top w:val="single" w:sz="8" w:space="0" w:color="FFFFFF"/>
              <w:left w:val="single" w:sz="4" w:space="0" w:color="95B3D7"/>
              <w:bottom w:val="single" w:sz="8" w:space="0" w:color="FFFFFF"/>
              <w:right w:val="single" w:sz="4" w:space="0" w:color="95B3D7"/>
            </w:tcBorders>
            <w:shd w:val="clear" w:color="auto" w:fill="D3DFEE"/>
            <w:tcMar>
              <w:top w:w="0" w:type="dxa"/>
              <w:left w:w="115" w:type="dxa"/>
              <w:bottom w:w="0" w:type="dxa"/>
              <w:right w:w="115" w:type="dxa"/>
            </w:tcMar>
          </w:tcPr>
          <w:p w14:paraId="7EC38707" w14:textId="77777777" w:rsidR="00205460" w:rsidRPr="00180EAE" w:rsidRDefault="00205460" w:rsidP="00F41855">
            <w:pPr>
              <w:pStyle w:val="NormalWeb"/>
              <w:bidi/>
              <w:spacing w:before="0" w:beforeAutospacing="0" w:after="0" w:afterAutospacing="0"/>
              <w:jc w:val="center"/>
              <w:rPr>
                <w:rFonts w:asciiTheme="minorBidi" w:hAnsiTheme="minorBidi" w:cstheme="minorBidi"/>
                <w:sz w:val="22"/>
                <w:szCs w:val="22"/>
                <w:rtl/>
                <w:lang w:bidi="he-IL"/>
              </w:rPr>
            </w:pPr>
            <w:r w:rsidRPr="00180EAE">
              <w:rPr>
                <w:rFonts w:asciiTheme="minorBidi" w:hAnsiTheme="minorBidi" w:cstheme="minorBidi"/>
                <w:sz w:val="22"/>
                <w:szCs w:val="22"/>
                <w:rtl/>
                <w:lang w:bidi="he-IL"/>
              </w:rPr>
              <w:t>26</w:t>
            </w:r>
          </w:p>
        </w:tc>
      </w:tr>
      <w:tr w:rsidR="00205460" w:rsidRPr="00180EAE" w14:paraId="2B17E329" w14:textId="77777777" w:rsidTr="00F41855">
        <w:trPr>
          <w:jc w:val="center"/>
        </w:trPr>
        <w:tc>
          <w:tcPr>
            <w:tcW w:w="0" w:type="auto"/>
            <w:tcBorders>
              <w:top w:val="single" w:sz="4" w:space="0" w:color="000000"/>
              <w:left w:val="single" w:sz="24" w:space="0" w:color="FFFFFF"/>
              <w:bottom w:val="single" w:sz="4" w:space="0" w:color="000000"/>
              <w:right w:val="single" w:sz="8" w:space="0" w:color="FFFFFF"/>
            </w:tcBorders>
            <w:shd w:val="clear" w:color="auto" w:fill="4F81BD"/>
            <w:tcMar>
              <w:top w:w="0" w:type="dxa"/>
              <w:left w:w="115" w:type="dxa"/>
              <w:bottom w:w="0" w:type="dxa"/>
              <w:right w:w="115" w:type="dxa"/>
            </w:tcMar>
            <w:hideMark/>
          </w:tcPr>
          <w:p w14:paraId="218EFCE0" w14:textId="77777777" w:rsidR="00205460" w:rsidRPr="00180EAE" w:rsidRDefault="00205460" w:rsidP="00F41855">
            <w:pPr>
              <w:pStyle w:val="NormalWeb"/>
              <w:bidi/>
              <w:spacing w:before="0" w:beforeAutospacing="0" w:after="0" w:afterAutospacing="0"/>
              <w:jc w:val="center"/>
              <w:rPr>
                <w:rFonts w:asciiTheme="minorBidi" w:hAnsiTheme="minorBidi" w:cstheme="minorBidi"/>
                <w:sz w:val="22"/>
                <w:szCs w:val="22"/>
                <w:rtl/>
              </w:rPr>
            </w:pPr>
            <w:r w:rsidRPr="00180EAE">
              <w:rPr>
                <w:rFonts w:asciiTheme="minorBidi" w:hAnsiTheme="minorBidi" w:cstheme="minorBidi"/>
                <w:b/>
                <w:bCs/>
                <w:color w:val="FFFFFF"/>
                <w:sz w:val="22"/>
                <w:szCs w:val="22"/>
                <w:rtl/>
                <w:lang w:bidi="he-IL"/>
              </w:rPr>
              <w:t>מארס</w:t>
            </w:r>
          </w:p>
        </w:tc>
        <w:tc>
          <w:tcPr>
            <w:tcW w:w="0" w:type="auto"/>
            <w:tcBorders>
              <w:top w:val="single" w:sz="8" w:space="0" w:color="FFFFFF"/>
              <w:left w:val="single" w:sz="8" w:space="0" w:color="FFFFFF"/>
              <w:bottom w:val="single" w:sz="8" w:space="0" w:color="FFFFFF"/>
              <w:right w:val="single" w:sz="24" w:space="0" w:color="FFFFFF"/>
            </w:tcBorders>
            <w:shd w:val="clear" w:color="auto" w:fill="A7C0DE"/>
            <w:tcMar>
              <w:top w:w="0" w:type="dxa"/>
              <w:left w:w="115" w:type="dxa"/>
              <w:bottom w:w="0" w:type="dxa"/>
              <w:right w:w="115" w:type="dxa"/>
            </w:tcMar>
          </w:tcPr>
          <w:p w14:paraId="0587E3D0" w14:textId="77777777" w:rsidR="00205460" w:rsidRPr="00180EAE" w:rsidRDefault="00642637" w:rsidP="00F41855">
            <w:pPr>
              <w:pStyle w:val="NormalWeb"/>
              <w:bidi/>
              <w:spacing w:before="0" w:beforeAutospacing="0" w:after="0" w:afterAutospacing="0"/>
              <w:jc w:val="center"/>
              <w:rPr>
                <w:rFonts w:asciiTheme="minorBidi" w:hAnsiTheme="minorBidi" w:cstheme="minorBidi"/>
                <w:sz w:val="22"/>
                <w:szCs w:val="22"/>
                <w:rtl/>
                <w:lang w:bidi="he-IL"/>
              </w:rPr>
            </w:pPr>
            <w:r w:rsidRPr="00180EAE">
              <w:rPr>
                <w:rFonts w:asciiTheme="minorBidi" w:hAnsiTheme="minorBidi" w:cstheme="minorBidi"/>
                <w:sz w:val="22"/>
                <w:szCs w:val="22"/>
                <w:rtl/>
                <w:lang w:bidi="he-IL"/>
              </w:rPr>
              <w:t>29</w:t>
            </w:r>
          </w:p>
        </w:tc>
        <w:tc>
          <w:tcPr>
            <w:tcW w:w="0" w:type="auto"/>
            <w:tcBorders>
              <w:top w:val="single" w:sz="8" w:space="0" w:color="FFFFFF"/>
              <w:left w:val="single" w:sz="8" w:space="0" w:color="FFFFFF"/>
              <w:bottom w:val="single" w:sz="8" w:space="0" w:color="FFFFFF"/>
              <w:right w:val="single" w:sz="8" w:space="0" w:color="FFFFFF"/>
            </w:tcBorders>
            <w:shd w:val="clear" w:color="auto" w:fill="A7C0DE"/>
            <w:tcMar>
              <w:top w:w="0" w:type="dxa"/>
              <w:left w:w="115" w:type="dxa"/>
              <w:bottom w:w="0" w:type="dxa"/>
              <w:right w:w="115" w:type="dxa"/>
            </w:tcMar>
          </w:tcPr>
          <w:p w14:paraId="493B4C26" w14:textId="77777777" w:rsidR="00205460" w:rsidRPr="00180EAE" w:rsidRDefault="00205460" w:rsidP="00F41855">
            <w:pPr>
              <w:pStyle w:val="NormalWeb"/>
              <w:bidi/>
              <w:spacing w:before="0" w:beforeAutospacing="0" w:after="0" w:afterAutospacing="0"/>
              <w:jc w:val="center"/>
              <w:rPr>
                <w:rFonts w:asciiTheme="minorBidi" w:hAnsiTheme="minorBidi" w:cstheme="minorBidi"/>
                <w:sz w:val="22"/>
                <w:szCs w:val="22"/>
                <w:rtl/>
                <w:lang w:bidi="he-IL"/>
              </w:rPr>
            </w:pPr>
            <w:r w:rsidRPr="00180EAE">
              <w:rPr>
                <w:rFonts w:asciiTheme="minorBidi" w:hAnsiTheme="minorBidi" w:cstheme="minorBidi"/>
                <w:sz w:val="22"/>
                <w:szCs w:val="22"/>
                <w:rtl/>
                <w:lang w:bidi="he-IL"/>
              </w:rPr>
              <w:t>7</w:t>
            </w:r>
          </w:p>
        </w:tc>
        <w:tc>
          <w:tcPr>
            <w:tcW w:w="2799" w:type="dxa"/>
            <w:tcBorders>
              <w:top w:val="single" w:sz="8" w:space="0" w:color="FFFFFF"/>
              <w:left w:val="single" w:sz="8" w:space="0" w:color="FFFFFF"/>
              <w:bottom w:val="single" w:sz="8" w:space="0" w:color="FFFFFF"/>
              <w:right w:val="single" w:sz="8" w:space="0" w:color="FFFFFF"/>
            </w:tcBorders>
            <w:shd w:val="clear" w:color="auto" w:fill="A7C0DE"/>
            <w:tcMar>
              <w:top w:w="0" w:type="dxa"/>
              <w:left w:w="115" w:type="dxa"/>
              <w:bottom w:w="0" w:type="dxa"/>
              <w:right w:w="115" w:type="dxa"/>
            </w:tcMar>
          </w:tcPr>
          <w:p w14:paraId="02E52061" w14:textId="77777777" w:rsidR="00205460" w:rsidRPr="00180EAE" w:rsidRDefault="00205460" w:rsidP="00F41855">
            <w:pPr>
              <w:pStyle w:val="NormalWeb"/>
              <w:bidi/>
              <w:spacing w:before="0" w:beforeAutospacing="0" w:after="0" w:afterAutospacing="0"/>
              <w:jc w:val="center"/>
              <w:rPr>
                <w:rFonts w:asciiTheme="minorBidi" w:hAnsiTheme="minorBidi" w:cstheme="minorBidi"/>
                <w:sz w:val="22"/>
                <w:szCs w:val="22"/>
                <w:rtl/>
                <w:lang w:bidi="he-IL"/>
              </w:rPr>
            </w:pPr>
            <w:r w:rsidRPr="00180EAE">
              <w:rPr>
                <w:rFonts w:asciiTheme="minorBidi" w:hAnsiTheme="minorBidi" w:cstheme="minorBidi"/>
                <w:sz w:val="22"/>
                <w:szCs w:val="22"/>
                <w:rtl/>
                <w:lang w:bidi="he-IL"/>
              </w:rPr>
              <w:t>23</w:t>
            </w:r>
          </w:p>
        </w:tc>
      </w:tr>
      <w:tr w:rsidR="00205460" w:rsidRPr="00180EAE" w14:paraId="0ACA56A1" w14:textId="77777777" w:rsidTr="00F41855">
        <w:trPr>
          <w:jc w:val="center"/>
        </w:trPr>
        <w:tc>
          <w:tcPr>
            <w:tcW w:w="0" w:type="auto"/>
            <w:tcBorders>
              <w:top w:val="single" w:sz="4" w:space="0" w:color="000000"/>
              <w:left w:val="single" w:sz="24" w:space="0" w:color="FFFFFF"/>
              <w:bottom w:val="single" w:sz="4" w:space="0" w:color="000000"/>
              <w:right w:val="single" w:sz="8" w:space="0" w:color="FFFFFF"/>
            </w:tcBorders>
            <w:shd w:val="clear" w:color="auto" w:fill="4F81BD"/>
            <w:tcMar>
              <w:top w:w="0" w:type="dxa"/>
              <w:left w:w="115" w:type="dxa"/>
              <w:bottom w:w="0" w:type="dxa"/>
              <w:right w:w="115" w:type="dxa"/>
            </w:tcMar>
            <w:hideMark/>
          </w:tcPr>
          <w:p w14:paraId="4E725F08" w14:textId="77777777" w:rsidR="00205460" w:rsidRPr="00180EAE" w:rsidRDefault="00205460" w:rsidP="00F41855">
            <w:pPr>
              <w:pStyle w:val="NormalWeb"/>
              <w:bidi/>
              <w:spacing w:before="0" w:beforeAutospacing="0" w:after="0" w:afterAutospacing="0"/>
              <w:jc w:val="center"/>
              <w:rPr>
                <w:rFonts w:asciiTheme="minorBidi" w:hAnsiTheme="minorBidi" w:cstheme="minorBidi"/>
                <w:sz w:val="22"/>
                <w:szCs w:val="22"/>
                <w:rtl/>
              </w:rPr>
            </w:pPr>
            <w:r w:rsidRPr="00180EAE">
              <w:rPr>
                <w:rFonts w:asciiTheme="minorBidi" w:hAnsiTheme="minorBidi" w:cstheme="minorBidi"/>
                <w:b/>
                <w:bCs/>
                <w:color w:val="FFFFFF"/>
                <w:sz w:val="22"/>
                <w:szCs w:val="22"/>
                <w:rtl/>
                <w:lang w:bidi="he-IL"/>
              </w:rPr>
              <w:t>אפריל</w:t>
            </w:r>
          </w:p>
        </w:tc>
        <w:tc>
          <w:tcPr>
            <w:tcW w:w="0" w:type="auto"/>
            <w:tcBorders>
              <w:top w:val="single" w:sz="8" w:space="0" w:color="FFFFFF"/>
              <w:left w:val="single" w:sz="4" w:space="0" w:color="95B3D7"/>
              <w:bottom w:val="single" w:sz="8" w:space="0" w:color="FFFFFF"/>
              <w:right w:val="single" w:sz="24" w:space="0" w:color="FFFFFF"/>
            </w:tcBorders>
            <w:shd w:val="clear" w:color="auto" w:fill="D3DFEE"/>
            <w:tcMar>
              <w:top w:w="0" w:type="dxa"/>
              <w:left w:w="115" w:type="dxa"/>
              <w:bottom w:w="0" w:type="dxa"/>
              <w:right w:w="115" w:type="dxa"/>
            </w:tcMar>
          </w:tcPr>
          <w:p w14:paraId="14B49D29" w14:textId="77777777" w:rsidR="00205460" w:rsidRPr="00180EAE" w:rsidRDefault="00642637" w:rsidP="00F41855">
            <w:pPr>
              <w:pStyle w:val="NormalWeb"/>
              <w:bidi/>
              <w:spacing w:before="0" w:beforeAutospacing="0" w:after="0" w:afterAutospacing="0"/>
              <w:jc w:val="center"/>
              <w:rPr>
                <w:rFonts w:asciiTheme="minorBidi" w:hAnsiTheme="minorBidi" w:cstheme="minorBidi"/>
                <w:sz w:val="22"/>
                <w:szCs w:val="22"/>
                <w:rtl/>
                <w:lang w:bidi="he-IL"/>
              </w:rPr>
            </w:pPr>
            <w:r w:rsidRPr="00180EAE">
              <w:rPr>
                <w:rFonts w:asciiTheme="minorBidi" w:hAnsiTheme="minorBidi" w:cstheme="minorBidi"/>
                <w:sz w:val="22"/>
                <w:szCs w:val="22"/>
                <w:rtl/>
                <w:lang w:bidi="he-IL"/>
              </w:rPr>
              <w:t>30</w:t>
            </w:r>
          </w:p>
        </w:tc>
        <w:tc>
          <w:tcPr>
            <w:tcW w:w="0" w:type="auto"/>
            <w:tcBorders>
              <w:top w:val="single" w:sz="8" w:space="0" w:color="FFFFFF"/>
              <w:left w:val="single" w:sz="4" w:space="0" w:color="95B3D7"/>
              <w:bottom w:val="single" w:sz="8" w:space="0" w:color="FFFFFF"/>
              <w:right w:val="single" w:sz="4" w:space="0" w:color="95B3D7"/>
            </w:tcBorders>
            <w:shd w:val="clear" w:color="auto" w:fill="D3DFEE"/>
            <w:tcMar>
              <w:top w:w="0" w:type="dxa"/>
              <w:left w:w="115" w:type="dxa"/>
              <w:bottom w:w="0" w:type="dxa"/>
              <w:right w:w="115" w:type="dxa"/>
            </w:tcMar>
          </w:tcPr>
          <w:p w14:paraId="6FFDECE8" w14:textId="77777777" w:rsidR="00205460" w:rsidRPr="00180EAE" w:rsidRDefault="00205460" w:rsidP="00F41855">
            <w:pPr>
              <w:pStyle w:val="NormalWeb"/>
              <w:bidi/>
              <w:spacing w:before="0" w:beforeAutospacing="0" w:after="0" w:afterAutospacing="0"/>
              <w:jc w:val="center"/>
              <w:rPr>
                <w:rFonts w:asciiTheme="minorBidi" w:hAnsiTheme="minorBidi" w:cstheme="minorBidi"/>
                <w:sz w:val="22"/>
                <w:szCs w:val="22"/>
                <w:rtl/>
                <w:lang w:bidi="he-IL"/>
              </w:rPr>
            </w:pPr>
            <w:r w:rsidRPr="00180EAE">
              <w:rPr>
                <w:rFonts w:asciiTheme="minorBidi" w:hAnsiTheme="minorBidi" w:cstheme="minorBidi"/>
                <w:sz w:val="22"/>
                <w:szCs w:val="22"/>
                <w:rtl/>
                <w:lang w:bidi="he-IL"/>
              </w:rPr>
              <w:t>8</w:t>
            </w:r>
          </w:p>
        </w:tc>
        <w:tc>
          <w:tcPr>
            <w:tcW w:w="2799" w:type="dxa"/>
            <w:tcBorders>
              <w:top w:val="single" w:sz="8" w:space="0" w:color="FFFFFF"/>
              <w:left w:val="single" w:sz="4" w:space="0" w:color="95B3D7"/>
              <w:bottom w:val="single" w:sz="8" w:space="0" w:color="FFFFFF"/>
              <w:right w:val="single" w:sz="4" w:space="0" w:color="95B3D7"/>
            </w:tcBorders>
            <w:shd w:val="clear" w:color="auto" w:fill="D3DFEE"/>
            <w:tcMar>
              <w:top w:w="0" w:type="dxa"/>
              <w:left w:w="115" w:type="dxa"/>
              <w:bottom w:w="0" w:type="dxa"/>
              <w:right w:w="115" w:type="dxa"/>
            </w:tcMar>
          </w:tcPr>
          <w:p w14:paraId="7B767744" w14:textId="77777777" w:rsidR="00205460" w:rsidRPr="00180EAE" w:rsidRDefault="00205460" w:rsidP="00F41855">
            <w:pPr>
              <w:pStyle w:val="NormalWeb"/>
              <w:bidi/>
              <w:spacing w:before="0" w:beforeAutospacing="0" w:after="0" w:afterAutospacing="0"/>
              <w:jc w:val="center"/>
              <w:rPr>
                <w:rFonts w:asciiTheme="minorBidi" w:hAnsiTheme="minorBidi" w:cstheme="minorBidi"/>
                <w:sz w:val="22"/>
                <w:szCs w:val="22"/>
                <w:rtl/>
                <w:lang w:bidi="he-IL"/>
              </w:rPr>
            </w:pPr>
            <w:r w:rsidRPr="00180EAE">
              <w:rPr>
                <w:rFonts w:asciiTheme="minorBidi" w:hAnsiTheme="minorBidi" w:cstheme="minorBidi"/>
                <w:sz w:val="22"/>
                <w:szCs w:val="22"/>
                <w:rtl/>
                <w:lang w:bidi="he-IL"/>
              </w:rPr>
              <w:t>23</w:t>
            </w:r>
          </w:p>
        </w:tc>
      </w:tr>
      <w:tr w:rsidR="00205460" w:rsidRPr="00180EAE" w14:paraId="76E1B898" w14:textId="77777777" w:rsidTr="00F41855">
        <w:trPr>
          <w:jc w:val="center"/>
        </w:trPr>
        <w:tc>
          <w:tcPr>
            <w:tcW w:w="0" w:type="auto"/>
            <w:tcBorders>
              <w:top w:val="single" w:sz="4" w:space="0" w:color="000000"/>
              <w:left w:val="single" w:sz="24" w:space="0" w:color="FFFFFF"/>
              <w:bottom w:val="single" w:sz="4" w:space="0" w:color="000000"/>
              <w:right w:val="single" w:sz="8" w:space="0" w:color="FFFFFF"/>
            </w:tcBorders>
            <w:shd w:val="clear" w:color="auto" w:fill="4F81BD"/>
            <w:tcMar>
              <w:top w:w="0" w:type="dxa"/>
              <w:left w:w="115" w:type="dxa"/>
              <w:bottom w:w="0" w:type="dxa"/>
              <w:right w:w="115" w:type="dxa"/>
            </w:tcMar>
            <w:hideMark/>
          </w:tcPr>
          <w:p w14:paraId="0F6A19C3" w14:textId="77777777" w:rsidR="00205460" w:rsidRPr="00180EAE" w:rsidRDefault="00205460" w:rsidP="00F41855">
            <w:pPr>
              <w:pStyle w:val="NormalWeb"/>
              <w:bidi/>
              <w:spacing w:before="0" w:beforeAutospacing="0" w:after="0" w:afterAutospacing="0"/>
              <w:jc w:val="center"/>
              <w:rPr>
                <w:rFonts w:asciiTheme="minorBidi" w:hAnsiTheme="minorBidi" w:cstheme="minorBidi"/>
                <w:sz w:val="22"/>
                <w:szCs w:val="22"/>
                <w:rtl/>
              </w:rPr>
            </w:pPr>
            <w:r w:rsidRPr="00180EAE">
              <w:rPr>
                <w:rFonts w:asciiTheme="minorBidi" w:hAnsiTheme="minorBidi" w:cstheme="minorBidi"/>
                <w:b/>
                <w:bCs/>
                <w:color w:val="FFFFFF"/>
                <w:sz w:val="22"/>
                <w:szCs w:val="22"/>
                <w:rtl/>
                <w:lang w:bidi="he-IL"/>
              </w:rPr>
              <w:t>מאי</w:t>
            </w:r>
          </w:p>
        </w:tc>
        <w:tc>
          <w:tcPr>
            <w:tcW w:w="0" w:type="auto"/>
            <w:tcBorders>
              <w:top w:val="single" w:sz="8" w:space="0" w:color="FFFFFF"/>
              <w:left w:val="single" w:sz="8" w:space="0" w:color="FFFFFF"/>
              <w:bottom w:val="single" w:sz="8" w:space="0" w:color="FFFFFF"/>
              <w:right w:val="single" w:sz="24" w:space="0" w:color="FFFFFF"/>
            </w:tcBorders>
            <w:shd w:val="clear" w:color="auto" w:fill="A7C0DE"/>
            <w:tcMar>
              <w:top w:w="0" w:type="dxa"/>
              <w:left w:w="115" w:type="dxa"/>
              <w:bottom w:w="0" w:type="dxa"/>
              <w:right w:w="115" w:type="dxa"/>
            </w:tcMar>
          </w:tcPr>
          <w:p w14:paraId="746AF4F3" w14:textId="77777777" w:rsidR="00205460" w:rsidRPr="00180EAE" w:rsidRDefault="00642637" w:rsidP="00F41855">
            <w:pPr>
              <w:pStyle w:val="NormalWeb"/>
              <w:bidi/>
              <w:spacing w:before="0" w:beforeAutospacing="0" w:after="0" w:afterAutospacing="0"/>
              <w:jc w:val="center"/>
              <w:rPr>
                <w:rFonts w:asciiTheme="minorBidi" w:hAnsiTheme="minorBidi" w:cstheme="minorBidi"/>
                <w:sz w:val="22"/>
                <w:szCs w:val="22"/>
                <w:rtl/>
                <w:lang w:bidi="he-IL"/>
              </w:rPr>
            </w:pPr>
            <w:r w:rsidRPr="00180EAE">
              <w:rPr>
                <w:rFonts w:asciiTheme="minorBidi" w:hAnsiTheme="minorBidi" w:cstheme="minorBidi"/>
                <w:sz w:val="22"/>
                <w:szCs w:val="22"/>
                <w:rtl/>
                <w:lang w:bidi="he-IL"/>
              </w:rPr>
              <w:t>34</w:t>
            </w:r>
          </w:p>
        </w:tc>
        <w:tc>
          <w:tcPr>
            <w:tcW w:w="0" w:type="auto"/>
            <w:tcBorders>
              <w:top w:val="single" w:sz="8" w:space="0" w:color="FFFFFF"/>
              <w:left w:val="single" w:sz="8" w:space="0" w:color="FFFFFF"/>
              <w:bottom w:val="single" w:sz="8" w:space="0" w:color="FFFFFF"/>
              <w:right w:val="single" w:sz="8" w:space="0" w:color="FFFFFF"/>
            </w:tcBorders>
            <w:shd w:val="clear" w:color="auto" w:fill="A7C0DE"/>
            <w:tcMar>
              <w:top w:w="0" w:type="dxa"/>
              <w:left w:w="115" w:type="dxa"/>
              <w:bottom w:w="0" w:type="dxa"/>
              <w:right w:w="115" w:type="dxa"/>
            </w:tcMar>
          </w:tcPr>
          <w:p w14:paraId="46440770" w14:textId="77777777" w:rsidR="00205460" w:rsidRPr="00180EAE" w:rsidRDefault="00FF7657" w:rsidP="00F41855">
            <w:pPr>
              <w:pStyle w:val="NormalWeb"/>
              <w:bidi/>
              <w:spacing w:before="0" w:beforeAutospacing="0" w:after="0" w:afterAutospacing="0"/>
              <w:jc w:val="center"/>
              <w:rPr>
                <w:rFonts w:asciiTheme="minorBidi" w:hAnsiTheme="minorBidi" w:cstheme="minorBidi"/>
                <w:sz w:val="22"/>
                <w:szCs w:val="22"/>
                <w:rtl/>
                <w:lang w:bidi="he-IL"/>
              </w:rPr>
            </w:pPr>
            <w:r w:rsidRPr="00180EAE">
              <w:rPr>
                <w:rFonts w:asciiTheme="minorBidi" w:hAnsiTheme="minorBidi" w:cstheme="minorBidi"/>
                <w:sz w:val="22"/>
                <w:szCs w:val="22"/>
                <w:rtl/>
                <w:lang w:bidi="he-IL"/>
              </w:rPr>
              <w:t>10</w:t>
            </w:r>
          </w:p>
        </w:tc>
        <w:tc>
          <w:tcPr>
            <w:tcW w:w="2799" w:type="dxa"/>
            <w:tcBorders>
              <w:top w:val="single" w:sz="8" w:space="0" w:color="FFFFFF"/>
              <w:left w:val="single" w:sz="8" w:space="0" w:color="FFFFFF"/>
              <w:bottom w:val="single" w:sz="8" w:space="0" w:color="FFFFFF"/>
              <w:right w:val="single" w:sz="8" w:space="0" w:color="FFFFFF"/>
            </w:tcBorders>
            <w:shd w:val="clear" w:color="auto" w:fill="A7C0DE"/>
            <w:tcMar>
              <w:top w:w="0" w:type="dxa"/>
              <w:left w:w="115" w:type="dxa"/>
              <w:bottom w:w="0" w:type="dxa"/>
              <w:right w:w="115" w:type="dxa"/>
            </w:tcMar>
          </w:tcPr>
          <w:p w14:paraId="3ADE2296" w14:textId="77777777" w:rsidR="00205460" w:rsidRPr="00180EAE" w:rsidRDefault="00FF7657" w:rsidP="00F41855">
            <w:pPr>
              <w:pStyle w:val="NormalWeb"/>
              <w:bidi/>
              <w:spacing w:before="0" w:beforeAutospacing="0" w:after="0" w:afterAutospacing="0"/>
              <w:jc w:val="center"/>
              <w:rPr>
                <w:rFonts w:asciiTheme="minorBidi" w:hAnsiTheme="minorBidi" w:cstheme="minorBidi"/>
                <w:sz w:val="22"/>
                <w:szCs w:val="22"/>
                <w:rtl/>
                <w:lang w:bidi="he-IL"/>
              </w:rPr>
            </w:pPr>
            <w:r w:rsidRPr="00180EAE">
              <w:rPr>
                <w:rFonts w:asciiTheme="minorBidi" w:hAnsiTheme="minorBidi" w:cstheme="minorBidi"/>
                <w:sz w:val="22"/>
                <w:szCs w:val="22"/>
                <w:rtl/>
                <w:lang w:bidi="he-IL"/>
              </w:rPr>
              <w:t>28</w:t>
            </w:r>
          </w:p>
        </w:tc>
      </w:tr>
      <w:tr w:rsidR="00205460" w:rsidRPr="00180EAE" w14:paraId="7D1CE414" w14:textId="77777777" w:rsidTr="00F41855">
        <w:trPr>
          <w:jc w:val="center"/>
        </w:trPr>
        <w:tc>
          <w:tcPr>
            <w:tcW w:w="0" w:type="auto"/>
            <w:tcBorders>
              <w:top w:val="single" w:sz="4" w:space="0" w:color="000000"/>
              <w:left w:val="single" w:sz="24" w:space="0" w:color="FFFFFF"/>
              <w:bottom w:val="single" w:sz="4" w:space="0" w:color="000000"/>
              <w:right w:val="single" w:sz="8" w:space="0" w:color="FFFFFF"/>
            </w:tcBorders>
            <w:shd w:val="clear" w:color="auto" w:fill="4F81BD"/>
            <w:tcMar>
              <w:top w:w="0" w:type="dxa"/>
              <w:left w:w="115" w:type="dxa"/>
              <w:bottom w:w="0" w:type="dxa"/>
              <w:right w:w="115" w:type="dxa"/>
            </w:tcMar>
            <w:hideMark/>
          </w:tcPr>
          <w:p w14:paraId="4C7392D5" w14:textId="77777777" w:rsidR="00205460" w:rsidRPr="00180EAE" w:rsidRDefault="00205460" w:rsidP="00F41855">
            <w:pPr>
              <w:pStyle w:val="NormalWeb"/>
              <w:bidi/>
              <w:spacing w:before="0" w:beforeAutospacing="0" w:after="0" w:afterAutospacing="0"/>
              <w:jc w:val="center"/>
              <w:rPr>
                <w:rFonts w:asciiTheme="minorBidi" w:hAnsiTheme="minorBidi" w:cstheme="minorBidi"/>
                <w:sz w:val="22"/>
                <w:szCs w:val="22"/>
                <w:rtl/>
              </w:rPr>
            </w:pPr>
            <w:r w:rsidRPr="00180EAE">
              <w:rPr>
                <w:rFonts w:asciiTheme="minorBidi" w:hAnsiTheme="minorBidi" w:cstheme="minorBidi"/>
                <w:b/>
                <w:bCs/>
                <w:color w:val="FFFFFF"/>
                <w:sz w:val="22"/>
                <w:szCs w:val="22"/>
                <w:rtl/>
                <w:lang w:bidi="he-IL"/>
              </w:rPr>
              <w:t>יוני</w:t>
            </w:r>
          </w:p>
        </w:tc>
        <w:tc>
          <w:tcPr>
            <w:tcW w:w="0" w:type="auto"/>
            <w:tcBorders>
              <w:top w:val="single" w:sz="8" w:space="0" w:color="FFFFFF"/>
              <w:left w:val="single" w:sz="4" w:space="0" w:color="95B3D7"/>
              <w:bottom w:val="single" w:sz="8" w:space="0" w:color="FFFFFF"/>
              <w:right w:val="single" w:sz="24" w:space="0" w:color="FFFFFF"/>
            </w:tcBorders>
            <w:shd w:val="clear" w:color="auto" w:fill="D3DFEE"/>
            <w:tcMar>
              <w:top w:w="0" w:type="dxa"/>
              <w:left w:w="115" w:type="dxa"/>
              <w:bottom w:w="0" w:type="dxa"/>
              <w:right w:w="115" w:type="dxa"/>
            </w:tcMar>
          </w:tcPr>
          <w:p w14:paraId="08D4D9B6" w14:textId="7CA50541" w:rsidR="00205460" w:rsidRPr="00180EAE" w:rsidRDefault="00F41855" w:rsidP="00F41855">
            <w:pPr>
              <w:pStyle w:val="NormalWeb"/>
              <w:bidi/>
              <w:spacing w:before="0" w:beforeAutospacing="0" w:after="0" w:afterAutospacing="0"/>
              <w:jc w:val="center"/>
              <w:rPr>
                <w:rFonts w:asciiTheme="minorBidi" w:hAnsiTheme="minorBidi" w:cstheme="minorBidi"/>
                <w:sz w:val="22"/>
                <w:szCs w:val="22"/>
                <w:rtl/>
                <w:lang w:bidi="he-IL"/>
              </w:rPr>
            </w:pPr>
            <w:r w:rsidRPr="00180EAE">
              <w:rPr>
                <w:rFonts w:asciiTheme="minorBidi" w:hAnsiTheme="minorBidi" w:cstheme="minorBidi" w:hint="cs"/>
                <w:sz w:val="22"/>
                <w:szCs w:val="22"/>
                <w:rtl/>
                <w:lang w:bidi="he-IL"/>
              </w:rPr>
              <w:t>45</w:t>
            </w:r>
          </w:p>
        </w:tc>
        <w:tc>
          <w:tcPr>
            <w:tcW w:w="0" w:type="auto"/>
            <w:tcBorders>
              <w:top w:val="single" w:sz="8" w:space="0" w:color="FFFFFF"/>
              <w:left w:val="single" w:sz="4" w:space="0" w:color="95B3D7"/>
              <w:bottom w:val="single" w:sz="8" w:space="0" w:color="FFFFFF"/>
              <w:right w:val="single" w:sz="4" w:space="0" w:color="95B3D7"/>
            </w:tcBorders>
            <w:shd w:val="clear" w:color="auto" w:fill="D3DFEE"/>
            <w:tcMar>
              <w:top w:w="0" w:type="dxa"/>
              <w:left w:w="115" w:type="dxa"/>
              <w:bottom w:w="0" w:type="dxa"/>
              <w:right w:w="115" w:type="dxa"/>
            </w:tcMar>
          </w:tcPr>
          <w:p w14:paraId="68B0D6E8" w14:textId="77777777" w:rsidR="00205460" w:rsidRPr="00180EAE" w:rsidRDefault="00FF7657" w:rsidP="00F41855">
            <w:pPr>
              <w:pStyle w:val="NormalWeb"/>
              <w:bidi/>
              <w:spacing w:before="0" w:beforeAutospacing="0" w:after="0" w:afterAutospacing="0"/>
              <w:jc w:val="center"/>
              <w:rPr>
                <w:rFonts w:asciiTheme="minorBidi" w:hAnsiTheme="minorBidi" w:cstheme="minorBidi"/>
                <w:sz w:val="22"/>
                <w:szCs w:val="22"/>
                <w:rtl/>
                <w:lang w:bidi="he-IL"/>
              </w:rPr>
            </w:pPr>
            <w:r w:rsidRPr="00180EAE">
              <w:rPr>
                <w:rFonts w:asciiTheme="minorBidi" w:hAnsiTheme="minorBidi" w:cstheme="minorBidi"/>
                <w:sz w:val="22"/>
                <w:szCs w:val="22"/>
                <w:rtl/>
                <w:lang w:bidi="he-IL"/>
              </w:rPr>
              <w:t>6</w:t>
            </w:r>
          </w:p>
        </w:tc>
        <w:tc>
          <w:tcPr>
            <w:tcW w:w="2799" w:type="dxa"/>
            <w:tcBorders>
              <w:top w:val="single" w:sz="8" w:space="0" w:color="FFFFFF"/>
              <w:left w:val="single" w:sz="4" w:space="0" w:color="95B3D7"/>
              <w:bottom w:val="single" w:sz="8" w:space="0" w:color="FFFFFF"/>
              <w:right w:val="single" w:sz="4" w:space="0" w:color="95B3D7"/>
            </w:tcBorders>
            <w:shd w:val="clear" w:color="auto" w:fill="D3DFEE"/>
            <w:tcMar>
              <w:top w:w="0" w:type="dxa"/>
              <w:left w:w="115" w:type="dxa"/>
              <w:bottom w:w="0" w:type="dxa"/>
              <w:right w:w="115" w:type="dxa"/>
            </w:tcMar>
          </w:tcPr>
          <w:p w14:paraId="63318089" w14:textId="40B82800" w:rsidR="00205460" w:rsidRPr="00180EAE" w:rsidRDefault="00F41855" w:rsidP="00F41855">
            <w:pPr>
              <w:pStyle w:val="NormalWeb"/>
              <w:bidi/>
              <w:spacing w:before="0" w:beforeAutospacing="0" w:after="0" w:afterAutospacing="0"/>
              <w:jc w:val="center"/>
              <w:rPr>
                <w:rFonts w:asciiTheme="minorBidi" w:hAnsiTheme="minorBidi" w:cstheme="minorBidi"/>
                <w:sz w:val="22"/>
                <w:szCs w:val="22"/>
                <w:rtl/>
                <w:lang w:bidi="he-IL"/>
              </w:rPr>
            </w:pPr>
            <w:r w:rsidRPr="00180EAE">
              <w:rPr>
                <w:rFonts w:asciiTheme="minorBidi" w:hAnsiTheme="minorBidi" w:cstheme="minorBidi" w:hint="cs"/>
                <w:sz w:val="22"/>
                <w:szCs w:val="22"/>
                <w:rtl/>
                <w:lang w:bidi="he-IL"/>
              </w:rPr>
              <w:t>44</w:t>
            </w:r>
          </w:p>
        </w:tc>
      </w:tr>
      <w:tr w:rsidR="00205460" w:rsidRPr="00CD7A85" w14:paraId="33501249" w14:textId="77777777" w:rsidTr="00F41855">
        <w:trPr>
          <w:jc w:val="center"/>
        </w:trPr>
        <w:tc>
          <w:tcPr>
            <w:tcW w:w="0" w:type="auto"/>
            <w:tcBorders>
              <w:top w:val="single" w:sz="4" w:space="0" w:color="000000"/>
              <w:left w:val="single" w:sz="24" w:space="0" w:color="FFFFFF"/>
              <w:bottom w:val="single" w:sz="8" w:space="0" w:color="FFFFFF"/>
              <w:right w:val="single" w:sz="8" w:space="0" w:color="FFFFFF"/>
            </w:tcBorders>
            <w:shd w:val="clear" w:color="auto" w:fill="000000"/>
            <w:tcMar>
              <w:top w:w="0" w:type="dxa"/>
              <w:left w:w="115" w:type="dxa"/>
              <w:bottom w:w="0" w:type="dxa"/>
              <w:right w:w="115" w:type="dxa"/>
            </w:tcMar>
            <w:hideMark/>
          </w:tcPr>
          <w:p w14:paraId="5866CB13" w14:textId="77777777" w:rsidR="00205460" w:rsidRPr="00180EAE" w:rsidRDefault="00205460" w:rsidP="00F41855">
            <w:pPr>
              <w:pStyle w:val="NormalWeb"/>
              <w:bidi/>
              <w:spacing w:before="0" w:beforeAutospacing="0" w:after="0" w:afterAutospacing="0"/>
              <w:jc w:val="center"/>
              <w:rPr>
                <w:rFonts w:asciiTheme="minorBidi" w:hAnsiTheme="minorBidi" w:cstheme="minorBidi"/>
                <w:sz w:val="22"/>
                <w:szCs w:val="22"/>
                <w:rtl/>
              </w:rPr>
            </w:pPr>
            <w:r w:rsidRPr="00180EAE">
              <w:rPr>
                <w:rFonts w:asciiTheme="minorBidi" w:hAnsiTheme="minorBidi" w:cstheme="minorBidi"/>
                <w:b/>
                <w:bCs/>
                <w:color w:val="FFFFFF"/>
                <w:sz w:val="22"/>
                <w:szCs w:val="22"/>
                <w:rtl/>
                <w:lang w:bidi="he-IL"/>
              </w:rPr>
              <w:t>סה</w:t>
            </w:r>
            <w:r w:rsidRPr="00180EAE">
              <w:rPr>
                <w:rFonts w:asciiTheme="minorBidi" w:hAnsiTheme="minorBidi" w:cstheme="minorBidi"/>
                <w:b/>
                <w:bCs/>
                <w:color w:val="FFFFFF"/>
                <w:sz w:val="22"/>
                <w:szCs w:val="22"/>
                <w:rtl/>
              </w:rPr>
              <w:t>"</w:t>
            </w:r>
            <w:r w:rsidRPr="00180EAE">
              <w:rPr>
                <w:rFonts w:asciiTheme="minorBidi" w:hAnsiTheme="minorBidi" w:cstheme="minorBidi"/>
                <w:b/>
                <w:bCs/>
                <w:color w:val="FFFFFF"/>
                <w:sz w:val="22"/>
                <w:szCs w:val="22"/>
                <w:rtl/>
                <w:lang w:bidi="he-IL"/>
              </w:rPr>
              <w:t>כ</w:t>
            </w:r>
          </w:p>
        </w:tc>
        <w:tc>
          <w:tcPr>
            <w:tcW w:w="0" w:type="auto"/>
            <w:tcBorders>
              <w:top w:val="single" w:sz="8" w:space="0" w:color="FFFFFF"/>
              <w:left w:val="single" w:sz="8" w:space="0" w:color="FFFFFF"/>
              <w:bottom w:val="single" w:sz="8" w:space="0" w:color="FFFFFF"/>
              <w:right w:val="single" w:sz="24" w:space="0" w:color="FFFFFF"/>
            </w:tcBorders>
            <w:shd w:val="clear" w:color="auto" w:fill="000000"/>
            <w:tcMar>
              <w:top w:w="0" w:type="dxa"/>
              <w:left w:w="115" w:type="dxa"/>
              <w:bottom w:w="0" w:type="dxa"/>
              <w:right w:w="115" w:type="dxa"/>
            </w:tcMar>
          </w:tcPr>
          <w:p w14:paraId="7A8982D2" w14:textId="7E4765C1" w:rsidR="00205460" w:rsidRPr="00180EAE" w:rsidRDefault="00F41855" w:rsidP="00F41855">
            <w:pPr>
              <w:pStyle w:val="NormalWeb"/>
              <w:bidi/>
              <w:spacing w:before="0" w:beforeAutospacing="0" w:after="0" w:afterAutospacing="0"/>
              <w:jc w:val="center"/>
              <w:rPr>
                <w:rFonts w:asciiTheme="minorBidi" w:hAnsiTheme="minorBidi" w:cstheme="minorBidi"/>
                <w:b/>
                <w:bCs/>
                <w:color w:val="FFFFFF"/>
                <w:sz w:val="22"/>
                <w:szCs w:val="22"/>
                <w:rtl/>
                <w:lang w:bidi="he-IL"/>
              </w:rPr>
            </w:pPr>
            <w:r w:rsidRPr="00180EAE">
              <w:rPr>
                <w:rFonts w:asciiTheme="minorBidi" w:hAnsiTheme="minorBidi" w:cstheme="minorBidi" w:hint="cs"/>
                <w:b/>
                <w:bCs/>
                <w:color w:val="FFFFFF"/>
                <w:sz w:val="22"/>
                <w:szCs w:val="22"/>
                <w:rtl/>
                <w:lang w:bidi="he-IL"/>
              </w:rPr>
              <w:t>195</w:t>
            </w:r>
          </w:p>
        </w:tc>
        <w:tc>
          <w:tcPr>
            <w:tcW w:w="0" w:type="auto"/>
            <w:tcBorders>
              <w:top w:val="single" w:sz="8" w:space="0" w:color="FFFFFF"/>
              <w:left w:val="single" w:sz="8" w:space="0" w:color="FFFFFF"/>
              <w:bottom w:val="single" w:sz="8" w:space="0" w:color="FFFFFF"/>
              <w:right w:val="single" w:sz="8" w:space="0" w:color="FFFFFF"/>
            </w:tcBorders>
            <w:shd w:val="clear" w:color="auto" w:fill="000000"/>
            <w:tcMar>
              <w:top w:w="0" w:type="dxa"/>
              <w:left w:w="115" w:type="dxa"/>
              <w:bottom w:w="0" w:type="dxa"/>
              <w:right w:w="115" w:type="dxa"/>
            </w:tcMar>
          </w:tcPr>
          <w:p w14:paraId="086CBA36" w14:textId="5041AAA7" w:rsidR="00205460" w:rsidRPr="00180EAE" w:rsidRDefault="00F17A39" w:rsidP="00F41855">
            <w:pPr>
              <w:pStyle w:val="NormalWeb"/>
              <w:bidi/>
              <w:spacing w:before="0" w:beforeAutospacing="0" w:after="0" w:afterAutospacing="0"/>
              <w:jc w:val="center"/>
              <w:rPr>
                <w:rFonts w:asciiTheme="minorBidi" w:hAnsiTheme="minorBidi" w:cstheme="minorBidi"/>
                <w:sz w:val="22"/>
                <w:szCs w:val="22"/>
                <w:rtl/>
                <w:lang w:bidi="he-IL"/>
              </w:rPr>
            </w:pPr>
            <w:r w:rsidRPr="00180EAE">
              <w:rPr>
                <w:rFonts w:asciiTheme="minorBidi" w:hAnsiTheme="minorBidi" w:cstheme="minorBidi"/>
                <w:sz w:val="22"/>
                <w:szCs w:val="22"/>
                <w:rtl/>
                <w:lang w:bidi="he-IL"/>
              </w:rPr>
              <w:t>43</w:t>
            </w:r>
          </w:p>
        </w:tc>
        <w:tc>
          <w:tcPr>
            <w:tcW w:w="2799" w:type="dxa"/>
            <w:tcBorders>
              <w:top w:val="single" w:sz="8" w:space="0" w:color="FFFFFF"/>
              <w:left w:val="single" w:sz="8" w:space="0" w:color="FFFFFF"/>
              <w:bottom w:val="single" w:sz="8" w:space="0" w:color="FFFFFF"/>
              <w:right w:val="single" w:sz="8" w:space="0" w:color="FFFFFF"/>
            </w:tcBorders>
            <w:shd w:val="clear" w:color="auto" w:fill="000000"/>
            <w:tcMar>
              <w:top w:w="0" w:type="dxa"/>
              <w:left w:w="115" w:type="dxa"/>
              <w:bottom w:w="0" w:type="dxa"/>
              <w:right w:w="115" w:type="dxa"/>
            </w:tcMar>
          </w:tcPr>
          <w:p w14:paraId="4E307046" w14:textId="577B36F5" w:rsidR="00205460" w:rsidRPr="00180EAE" w:rsidRDefault="00F41855" w:rsidP="00F41855">
            <w:pPr>
              <w:pStyle w:val="NormalWeb"/>
              <w:bidi/>
              <w:spacing w:before="0" w:beforeAutospacing="0" w:after="0" w:afterAutospacing="0"/>
              <w:jc w:val="center"/>
              <w:rPr>
                <w:rFonts w:asciiTheme="minorBidi" w:hAnsiTheme="minorBidi" w:cstheme="minorBidi"/>
                <w:sz w:val="22"/>
                <w:szCs w:val="22"/>
                <w:rtl/>
                <w:lang w:bidi="he-IL"/>
              </w:rPr>
            </w:pPr>
            <w:r w:rsidRPr="00180EAE">
              <w:rPr>
                <w:rFonts w:asciiTheme="minorBidi" w:hAnsiTheme="minorBidi" w:cstheme="minorBidi" w:hint="cs"/>
                <w:sz w:val="22"/>
                <w:szCs w:val="22"/>
                <w:rtl/>
                <w:lang w:bidi="he-IL"/>
              </w:rPr>
              <w:t>164</w:t>
            </w:r>
          </w:p>
        </w:tc>
      </w:tr>
    </w:tbl>
    <w:p w14:paraId="21DA40BB" w14:textId="77777777" w:rsidR="00205460" w:rsidRPr="00CD7A85" w:rsidRDefault="00C52A27" w:rsidP="0041535C">
      <w:pPr>
        <w:bidi/>
        <w:spacing w:after="120" w:line="360" w:lineRule="auto"/>
        <w:jc w:val="both"/>
        <w:rPr>
          <w:rFonts w:asciiTheme="minorBidi" w:hAnsiTheme="minorBidi" w:cstheme="minorBidi"/>
          <w:sz w:val="22"/>
          <w:szCs w:val="22"/>
          <w:rtl/>
          <w:lang w:bidi="he-IL"/>
        </w:rPr>
      </w:pPr>
      <w:r w:rsidRPr="00CD7A85">
        <w:rPr>
          <w:rFonts w:asciiTheme="minorBidi" w:hAnsiTheme="minorBidi" w:cstheme="minorBidi"/>
          <w:sz w:val="22"/>
          <w:szCs w:val="22"/>
          <w:rtl/>
          <w:lang w:bidi="he-IL"/>
        </w:rPr>
        <w:t xml:space="preserve">*הטבלה מתבססת על איסוף ותיעוד של </w:t>
      </w:r>
      <w:r w:rsidR="002930E2" w:rsidRPr="00CD7A85">
        <w:rPr>
          <w:rFonts w:asciiTheme="minorBidi" w:hAnsiTheme="minorBidi" w:cstheme="minorBidi"/>
          <w:sz w:val="22"/>
          <w:szCs w:val="22"/>
          <w:rtl/>
          <w:lang w:bidi="he-IL"/>
        </w:rPr>
        <w:t>'</w:t>
      </w:r>
      <w:r w:rsidRPr="00CD7A85">
        <w:rPr>
          <w:rFonts w:asciiTheme="minorBidi" w:hAnsiTheme="minorBidi" w:cstheme="minorBidi"/>
          <w:sz w:val="22"/>
          <w:szCs w:val="22"/>
          <w:rtl/>
          <w:lang w:bidi="he-IL"/>
        </w:rPr>
        <w:t>קו לעוב</w:t>
      </w:r>
      <w:r w:rsidR="002930E2" w:rsidRPr="00CD7A85">
        <w:rPr>
          <w:rFonts w:asciiTheme="minorBidi" w:hAnsiTheme="minorBidi" w:cstheme="minorBidi"/>
          <w:sz w:val="22"/>
          <w:szCs w:val="22"/>
          <w:rtl/>
          <w:lang w:bidi="he-IL"/>
        </w:rPr>
        <w:t>ד'</w:t>
      </w:r>
      <w:r w:rsidRPr="00CD7A85">
        <w:rPr>
          <w:rFonts w:asciiTheme="minorBidi" w:hAnsiTheme="minorBidi" w:cstheme="minorBidi"/>
          <w:sz w:val="22"/>
          <w:szCs w:val="22"/>
          <w:rtl/>
          <w:lang w:bidi="he-IL"/>
        </w:rPr>
        <w:t xml:space="preserve"> לדיווחים של מד"א ומשטרת ישראל</w:t>
      </w:r>
    </w:p>
    <w:p w14:paraId="4BCFE426" w14:textId="12E83FB7" w:rsidR="00F04BC7" w:rsidRPr="00CD7A85" w:rsidRDefault="00F04BC7" w:rsidP="006422AC">
      <w:pPr>
        <w:bidi/>
        <w:spacing w:after="120" w:line="360" w:lineRule="auto"/>
        <w:jc w:val="both"/>
        <w:rPr>
          <w:rFonts w:asciiTheme="minorBidi" w:hAnsiTheme="minorBidi" w:cstheme="minorBidi"/>
          <w:sz w:val="22"/>
          <w:szCs w:val="22"/>
          <w:rtl/>
          <w:lang w:bidi="he-IL"/>
        </w:rPr>
      </w:pPr>
      <w:r w:rsidRPr="00CD7A85">
        <w:rPr>
          <w:rFonts w:asciiTheme="minorBidi" w:hAnsiTheme="minorBidi" w:cstheme="minorBidi"/>
          <w:b/>
          <w:bCs/>
          <w:sz w:val="22"/>
          <w:szCs w:val="22"/>
          <w:rtl/>
          <w:lang w:bidi="he-IL"/>
        </w:rPr>
        <w:lastRenderedPageBreak/>
        <w:t>ענף הבניין -</w:t>
      </w:r>
      <w:r w:rsidR="00180EAE">
        <w:rPr>
          <w:rFonts w:asciiTheme="minorBidi" w:hAnsiTheme="minorBidi" w:cstheme="minorBidi" w:hint="cs"/>
          <w:b/>
          <w:bCs/>
          <w:sz w:val="22"/>
          <w:szCs w:val="22"/>
          <w:rtl/>
          <w:lang w:bidi="he-IL"/>
        </w:rPr>
        <w:t xml:space="preserve"> </w:t>
      </w:r>
      <w:r w:rsidR="00C52A27" w:rsidRPr="00CD7A85">
        <w:rPr>
          <w:rFonts w:asciiTheme="minorBidi" w:hAnsiTheme="minorBidi" w:cstheme="minorBidi"/>
          <w:b/>
          <w:bCs/>
          <w:sz w:val="22"/>
          <w:szCs w:val="22"/>
          <w:rtl/>
          <w:lang w:bidi="he-IL"/>
        </w:rPr>
        <w:t xml:space="preserve">הענף המסוכן ביותר במשק הישראלי והמוביל במספר התאונות הקטלניות והקשות - </w:t>
      </w:r>
      <w:r w:rsidR="00C52A27" w:rsidRPr="00CD7A85">
        <w:rPr>
          <w:rFonts w:asciiTheme="minorBidi" w:hAnsiTheme="minorBidi" w:cstheme="minorBidi"/>
          <w:sz w:val="22"/>
          <w:szCs w:val="22"/>
          <w:rtl/>
          <w:lang w:bidi="he-IL"/>
        </w:rPr>
        <w:t xml:space="preserve"> </w:t>
      </w:r>
    </w:p>
    <w:p w14:paraId="4CF200FA" w14:textId="301F04AC" w:rsidR="008F13E8" w:rsidRPr="00CD7A85" w:rsidRDefault="007B3521" w:rsidP="0041535C">
      <w:pPr>
        <w:bidi/>
        <w:spacing w:after="120" w:line="360" w:lineRule="auto"/>
        <w:jc w:val="both"/>
        <w:rPr>
          <w:rFonts w:asciiTheme="minorBidi" w:hAnsiTheme="minorBidi" w:cstheme="minorBidi"/>
          <w:sz w:val="22"/>
          <w:szCs w:val="22"/>
          <w:rtl/>
          <w:lang w:bidi="he-IL"/>
        </w:rPr>
      </w:pPr>
      <w:r w:rsidRPr="00180EAE">
        <w:rPr>
          <w:rFonts w:asciiTheme="minorBidi" w:hAnsiTheme="minorBidi" w:cstheme="minorBidi" w:hint="cs"/>
          <w:sz w:val="22"/>
          <w:szCs w:val="22"/>
          <w:rtl/>
          <w:lang w:bidi="he-IL"/>
        </w:rPr>
        <w:t>כ-</w:t>
      </w:r>
      <w:r w:rsidR="00F04BC7" w:rsidRPr="00180EAE">
        <w:rPr>
          <w:rFonts w:asciiTheme="minorBidi" w:hAnsiTheme="minorBidi" w:cstheme="minorBidi"/>
          <w:sz w:val="22"/>
          <w:szCs w:val="22"/>
          <w:rtl/>
          <w:lang w:bidi="he-IL"/>
        </w:rPr>
        <w:t>60% מ</w:t>
      </w:r>
      <w:r w:rsidR="00F17A39" w:rsidRPr="00180EAE">
        <w:rPr>
          <w:rFonts w:asciiTheme="minorBidi" w:hAnsiTheme="minorBidi" w:cstheme="minorBidi"/>
          <w:sz w:val="22"/>
          <w:szCs w:val="22"/>
          <w:rtl/>
          <w:lang w:bidi="he-IL"/>
        </w:rPr>
        <w:t>תאונו</w:t>
      </w:r>
      <w:r w:rsidR="002F0077" w:rsidRPr="00180EAE">
        <w:rPr>
          <w:rFonts w:asciiTheme="minorBidi" w:hAnsiTheme="minorBidi" w:cstheme="minorBidi"/>
          <w:sz w:val="22"/>
          <w:szCs w:val="22"/>
          <w:rtl/>
          <w:lang w:bidi="he-IL"/>
        </w:rPr>
        <w:t>ת</w:t>
      </w:r>
      <w:r w:rsidR="00F17A39" w:rsidRPr="00180EAE">
        <w:rPr>
          <w:rFonts w:asciiTheme="minorBidi" w:hAnsiTheme="minorBidi" w:cstheme="minorBidi"/>
          <w:sz w:val="22"/>
          <w:szCs w:val="22"/>
          <w:rtl/>
          <w:lang w:bidi="he-IL"/>
        </w:rPr>
        <w:t xml:space="preserve"> ה</w:t>
      </w:r>
      <w:r w:rsidR="00F04BC7" w:rsidRPr="00180EAE">
        <w:rPr>
          <w:rFonts w:asciiTheme="minorBidi" w:hAnsiTheme="minorBidi" w:cstheme="minorBidi"/>
          <w:sz w:val="22"/>
          <w:szCs w:val="22"/>
          <w:rtl/>
          <w:lang w:bidi="he-IL"/>
        </w:rPr>
        <w:t>עבודה ה</w:t>
      </w:r>
      <w:r w:rsidR="00F17A39" w:rsidRPr="00180EAE">
        <w:rPr>
          <w:rFonts w:asciiTheme="minorBidi" w:hAnsiTheme="minorBidi" w:cstheme="minorBidi"/>
          <w:sz w:val="22"/>
          <w:szCs w:val="22"/>
          <w:rtl/>
          <w:lang w:bidi="he-IL"/>
        </w:rPr>
        <w:t>קטלניות והקשות במחצי</w:t>
      </w:r>
      <w:r w:rsidR="00F04BC7" w:rsidRPr="00180EAE">
        <w:rPr>
          <w:rFonts w:asciiTheme="minorBidi" w:hAnsiTheme="minorBidi" w:cstheme="minorBidi"/>
          <w:sz w:val="22"/>
          <w:szCs w:val="22"/>
          <w:rtl/>
          <w:lang w:bidi="he-IL"/>
        </w:rPr>
        <w:t>ת הראשונה 2019 התרחשו בענף הבניין</w:t>
      </w:r>
      <w:r w:rsidR="00F17A39" w:rsidRPr="00180EAE">
        <w:rPr>
          <w:rFonts w:asciiTheme="minorBidi" w:hAnsiTheme="minorBidi" w:cstheme="minorBidi"/>
          <w:sz w:val="22"/>
          <w:szCs w:val="22"/>
          <w:rtl/>
          <w:lang w:bidi="he-IL"/>
        </w:rPr>
        <w:t xml:space="preserve"> (</w:t>
      </w:r>
      <w:r w:rsidR="00F41855" w:rsidRPr="00180EAE">
        <w:rPr>
          <w:rFonts w:asciiTheme="minorBidi" w:hAnsiTheme="minorBidi" w:cstheme="minorBidi" w:hint="cs"/>
          <w:sz w:val="22"/>
          <w:szCs w:val="22"/>
          <w:rtl/>
          <w:lang w:bidi="he-IL"/>
        </w:rPr>
        <w:t>119</w:t>
      </w:r>
      <w:r w:rsidR="00F17A39" w:rsidRPr="00180EAE">
        <w:rPr>
          <w:rFonts w:asciiTheme="minorBidi" w:hAnsiTheme="minorBidi" w:cstheme="minorBidi"/>
          <w:sz w:val="22"/>
          <w:szCs w:val="22"/>
          <w:rtl/>
          <w:lang w:bidi="he-IL"/>
        </w:rPr>
        <w:t xml:space="preserve"> תאונות מתוך </w:t>
      </w:r>
      <w:r w:rsidR="00F41855" w:rsidRPr="00180EAE">
        <w:rPr>
          <w:rFonts w:asciiTheme="minorBidi" w:hAnsiTheme="minorBidi" w:cstheme="minorBidi" w:hint="cs"/>
          <w:sz w:val="22"/>
          <w:szCs w:val="22"/>
          <w:rtl/>
          <w:lang w:bidi="he-IL"/>
        </w:rPr>
        <w:t>195</w:t>
      </w:r>
      <w:r w:rsidR="00F04BC7" w:rsidRPr="00180EAE">
        <w:rPr>
          <w:rFonts w:asciiTheme="minorBidi" w:hAnsiTheme="minorBidi" w:cstheme="minorBidi"/>
          <w:sz w:val="22"/>
          <w:szCs w:val="22"/>
          <w:rtl/>
          <w:lang w:bidi="he-IL"/>
        </w:rPr>
        <w:t xml:space="preserve">), </w:t>
      </w:r>
      <w:r w:rsidR="00F17A39" w:rsidRPr="00180EAE">
        <w:rPr>
          <w:rFonts w:asciiTheme="minorBidi" w:hAnsiTheme="minorBidi" w:cstheme="minorBidi"/>
          <w:sz w:val="22"/>
          <w:szCs w:val="22"/>
          <w:rtl/>
          <w:lang w:bidi="he-IL"/>
        </w:rPr>
        <w:t>24</w:t>
      </w:r>
      <w:r w:rsidR="00F04BC7" w:rsidRPr="00180EAE">
        <w:rPr>
          <w:rFonts w:asciiTheme="minorBidi" w:hAnsiTheme="minorBidi" w:cstheme="minorBidi"/>
          <w:sz w:val="22"/>
          <w:szCs w:val="22"/>
          <w:rtl/>
          <w:lang w:bidi="he-IL"/>
        </w:rPr>
        <w:t xml:space="preserve"> עובדי בניין נהרגו ו-</w:t>
      </w:r>
      <w:r w:rsidRPr="00180EAE">
        <w:rPr>
          <w:rFonts w:asciiTheme="minorBidi" w:hAnsiTheme="minorBidi" w:cstheme="minorBidi" w:hint="cs"/>
          <w:sz w:val="22"/>
          <w:szCs w:val="22"/>
          <w:rtl/>
          <w:lang w:bidi="he-IL"/>
        </w:rPr>
        <w:t>104</w:t>
      </w:r>
      <w:r w:rsidR="00F17A39" w:rsidRPr="00180EAE">
        <w:rPr>
          <w:rFonts w:asciiTheme="minorBidi" w:hAnsiTheme="minorBidi" w:cstheme="minorBidi"/>
          <w:sz w:val="22"/>
          <w:szCs w:val="22"/>
          <w:rtl/>
          <w:lang w:bidi="he-IL"/>
        </w:rPr>
        <w:t xml:space="preserve"> </w:t>
      </w:r>
      <w:r w:rsidR="00F04BC7" w:rsidRPr="00180EAE">
        <w:rPr>
          <w:rFonts w:asciiTheme="minorBidi" w:hAnsiTheme="minorBidi" w:cstheme="minorBidi"/>
          <w:sz w:val="22"/>
          <w:szCs w:val="22"/>
          <w:rtl/>
          <w:lang w:bidi="he-IL"/>
        </w:rPr>
        <w:t>עובדים נפצעו</w:t>
      </w:r>
      <w:r w:rsidR="002F0077" w:rsidRPr="00180EAE">
        <w:rPr>
          <w:rFonts w:asciiTheme="minorBidi" w:hAnsiTheme="minorBidi" w:cstheme="minorBidi"/>
          <w:sz w:val="22"/>
          <w:szCs w:val="22"/>
          <w:rtl/>
          <w:lang w:bidi="he-IL"/>
        </w:rPr>
        <w:t xml:space="preserve"> באורח קשה ובינוני.</w:t>
      </w:r>
      <w:r w:rsidR="002F0077" w:rsidRPr="00CD7A85">
        <w:rPr>
          <w:rFonts w:asciiTheme="minorBidi" w:hAnsiTheme="minorBidi" w:cstheme="minorBidi"/>
          <w:sz w:val="22"/>
          <w:szCs w:val="22"/>
          <w:rtl/>
          <w:lang w:bidi="he-IL"/>
        </w:rPr>
        <w:t xml:space="preserve"> חומרת נתונים אלו מקבלת משנה תוקף, בצל העובדה </w:t>
      </w:r>
      <w:r w:rsidR="00B27310" w:rsidRPr="00CD7A85">
        <w:rPr>
          <w:rFonts w:asciiTheme="minorBidi" w:hAnsiTheme="minorBidi" w:cstheme="minorBidi"/>
          <w:sz w:val="22"/>
          <w:szCs w:val="22"/>
          <w:rtl/>
          <w:lang w:bidi="he-IL"/>
        </w:rPr>
        <w:t>ש</w:t>
      </w:r>
      <w:r w:rsidR="002F0077" w:rsidRPr="00CD7A85">
        <w:rPr>
          <w:rFonts w:asciiTheme="minorBidi" w:hAnsiTheme="minorBidi" w:cstheme="minorBidi"/>
          <w:sz w:val="22"/>
          <w:szCs w:val="22"/>
          <w:rtl/>
          <w:lang w:bidi="he-IL"/>
        </w:rPr>
        <w:t xml:space="preserve">רק 8% </w:t>
      </w:r>
      <w:r w:rsidR="008F13E8" w:rsidRPr="00CD7A85">
        <w:rPr>
          <w:rFonts w:asciiTheme="minorBidi" w:hAnsiTheme="minorBidi" w:cstheme="minorBidi"/>
          <w:sz w:val="22"/>
          <w:szCs w:val="22"/>
          <w:rtl/>
          <w:lang w:bidi="he-IL"/>
        </w:rPr>
        <w:t>מכלל המועסקים במשק</w:t>
      </w:r>
      <w:r w:rsidR="002F0077" w:rsidRPr="00CD7A85">
        <w:rPr>
          <w:rFonts w:asciiTheme="minorBidi" w:hAnsiTheme="minorBidi" w:cstheme="minorBidi"/>
          <w:sz w:val="22"/>
          <w:szCs w:val="22"/>
          <w:rtl/>
          <w:lang w:bidi="he-IL"/>
        </w:rPr>
        <w:t xml:space="preserve">, מועסקים בענף הבניה. </w:t>
      </w:r>
    </w:p>
    <w:p w14:paraId="7B1C55C0" w14:textId="77777777" w:rsidR="00083700" w:rsidRPr="00CD7A85" w:rsidRDefault="000546CF" w:rsidP="0041535C">
      <w:pPr>
        <w:bidi/>
        <w:spacing w:after="120" w:line="360" w:lineRule="auto"/>
        <w:jc w:val="both"/>
        <w:rPr>
          <w:rFonts w:asciiTheme="minorBidi" w:hAnsiTheme="minorBidi" w:cstheme="minorBidi"/>
          <w:sz w:val="22"/>
          <w:szCs w:val="22"/>
          <w:u w:val="single"/>
          <w:rtl/>
          <w:lang w:bidi="he-IL"/>
        </w:rPr>
      </w:pPr>
      <w:r w:rsidRPr="00CD7A85">
        <w:rPr>
          <w:rFonts w:asciiTheme="minorBidi" w:hAnsiTheme="minorBidi" w:cstheme="minorBidi"/>
          <w:sz w:val="22"/>
          <w:szCs w:val="22"/>
          <w:u w:val="single"/>
          <w:rtl/>
          <w:lang w:bidi="he-IL"/>
        </w:rPr>
        <w:t xml:space="preserve">בתרשים להלן חלוקת </w:t>
      </w:r>
      <w:r w:rsidR="00083700" w:rsidRPr="00CD7A85">
        <w:rPr>
          <w:rFonts w:asciiTheme="minorBidi" w:hAnsiTheme="minorBidi" w:cstheme="minorBidi"/>
          <w:sz w:val="22"/>
          <w:szCs w:val="22"/>
          <w:u w:val="single"/>
          <w:rtl/>
          <w:lang w:bidi="he-IL"/>
        </w:rPr>
        <w:t>הרוגים</w:t>
      </w:r>
      <w:r w:rsidRPr="00CD7A85">
        <w:rPr>
          <w:rFonts w:asciiTheme="minorBidi" w:hAnsiTheme="minorBidi" w:cstheme="minorBidi"/>
          <w:sz w:val="22"/>
          <w:szCs w:val="22"/>
          <w:u w:val="single"/>
          <w:rtl/>
          <w:lang w:bidi="he-IL"/>
        </w:rPr>
        <w:t xml:space="preserve"> בתאונות עבודה לפי</w:t>
      </w:r>
      <w:r w:rsidR="00083700" w:rsidRPr="00CD7A85">
        <w:rPr>
          <w:rFonts w:asciiTheme="minorBidi" w:hAnsiTheme="minorBidi" w:cstheme="minorBidi"/>
          <w:sz w:val="22"/>
          <w:szCs w:val="22"/>
          <w:u w:val="single"/>
          <w:rtl/>
          <w:lang w:bidi="he-IL"/>
        </w:rPr>
        <w:t xml:space="preserve"> ענף תעסוקתי</w:t>
      </w:r>
      <w:r w:rsidRPr="00CD7A85">
        <w:rPr>
          <w:rFonts w:asciiTheme="minorBidi" w:hAnsiTheme="minorBidi" w:cstheme="minorBidi"/>
          <w:sz w:val="22"/>
          <w:szCs w:val="22"/>
          <w:u w:val="single"/>
          <w:rtl/>
          <w:lang w:bidi="he-IL"/>
        </w:rPr>
        <w:t>:</w:t>
      </w:r>
    </w:p>
    <w:p w14:paraId="5F18B163" w14:textId="515A02F2" w:rsidR="0094323A" w:rsidRPr="00CD7A85" w:rsidRDefault="00083700" w:rsidP="0041535C">
      <w:pPr>
        <w:bidi/>
        <w:spacing w:after="120" w:line="360" w:lineRule="auto"/>
        <w:jc w:val="center"/>
        <w:rPr>
          <w:rFonts w:asciiTheme="minorBidi" w:hAnsiTheme="minorBidi" w:cstheme="minorBidi"/>
          <w:sz w:val="22"/>
          <w:szCs w:val="22"/>
          <w:rtl/>
          <w:lang w:bidi="he-IL"/>
        </w:rPr>
      </w:pPr>
      <w:r w:rsidRPr="00CD7A85">
        <w:rPr>
          <w:rFonts w:asciiTheme="minorBidi" w:hAnsiTheme="minorBidi" w:cstheme="minorBidi"/>
          <w:noProof/>
          <w:sz w:val="22"/>
          <w:szCs w:val="22"/>
          <w:rtl/>
          <w:lang w:bidi="he-IL"/>
        </w:rPr>
        <w:drawing>
          <wp:inline distT="0" distB="0" distL="0" distR="0" wp14:anchorId="0235B927" wp14:editId="47BB1896">
            <wp:extent cx="4365266" cy="2019300"/>
            <wp:effectExtent l="0" t="0" r="1651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079DF6" w14:textId="55BECAA4" w:rsidR="0094323A" w:rsidRPr="00CD7A85" w:rsidRDefault="0094323A" w:rsidP="007B3521">
      <w:pPr>
        <w:bidi/>
        <w:spacing w:before="240" w:after="120" w:line="360" w:lineRule="auto"/>
        <w:jc w:val="both"/>
        <w:rPr>
          <w:rFonts w:asciiTheme="minorBidi" w:hAnsiTheme="minorBidi" w:cstheme="minorBidi"/>
          <w:b/>
          <w:bCs/>
          <w:sz w:val="22"/>
          <w:szCs w:val="22"/>
          <w:rtl/>
          <w:lang w:bidi="he-IL"/>
        </w:rPr>
      </w:pPr>
      <w:r w:rsidRPr="00CD7A85">
        <w:rPr>
          <w:rFonts w:asciiTheme="minorBidi" w:hAnsiTheme="minorBidi" w:cstheme="minorBidi"/>
          <w:b/>
          <w:bCs/>
          <w:sz w:val="22"/>
          <w:szCs w:val="22"/>
          <w:rtl/>
          <w:lang w:bidi="he-IL"/>
        </w:rPr>
        <w:t xml:space="preserve">המחצית הראשונה של 2019 בתאונות עבודה – עלייה של </w:t>
      </w:r>
      <w:r w:rsidR="00F04BC7" w:rsidRPr="00CD7A85">
        <w:rPr>
          <w:rFonts w:asciiTheme="minorBidi" w:hAnsiTheme="minorBidi" w:cstheme="minorBidi"/>
          <w:b/>
          <w:bCs/>
          <w:sz w:val="22"/>
          <w:szCs w:val="22"/>
          <w:rtl/>
          <w:lang w:bidi="he-IL"/>
        </w:rPr>
        <w:t>30%</w:t>
      </w:r>
      <w:r w:rsidRPr="00CD7A85">
        <w:rPr>
          <w:rFonts w:asciiTheme="minorBidi" w:hAnsiTheme="minorBidi" w:cstheme="minorBidi"/>
          <w:b/>
          <w:bCs/>
          <w:sz w:val="22"/>
          <w:szCs w:val="22"/>
          <w:rtl/>
          <w:lang w:bidi="he-IL"/>
        </w:rPr>
        <w:t xml:space="preserve"> לעומת השנה החולפת, והגבוה ביותר מזה חמש שנים, בניגוד ליעדי משרד העבודה בתכנית עבודתו – ירידה של 10% במספר ההרוגים. </w:t>
      </w:r>
    </w:p>
    <w:p w14:paraId="1F6F2382" w14:textId="77777777" w:rsidR="00CF38C9" w:rsidRPr="00CD7A85" w:rsidRDefault="00CF38C9" w:rsidP="0041535C">
      <w:pPr>
        <w:bidi/>
        <w:spacing w:after="120" w:line="360" w:lineRule="auto"/>
        <w:jc w:val="both"/>
        <w:rPr>
          <w:rFonts w:asciiTheme="minorBidi" w:hAnsiTheme="minorBidi" w:cstheme="minorBidi"/>
          <w:sz w:val="22"/>
          <w:szCs w:val="22"/>
          <w:rtl/>
          <w:lang w:bidi="he-IL"/>
        </w:rPr>
      </w:pPr>
      <w:r w:rsidRPr="00CD7A85">
        <w:rPr>
          <w:rFonts w:asciiTheme="minorBidi" w:hAnsiTheme="minorBidi" w:cstheme="minorBidi"/>
          <w:sz w:val="22"/>
          <w:szCs w:val="22"/>
          <w:u w:val="single"/>
          <w:rtl/>
          <w:lang w:bidi="he-IL"/>
        </w:rPr>
        <w:t>בתרשים להלן, מספר ההרוגים בתאונות עבודה בכל הענפים ולפי ענף, במחצית הראשונה של השנים 2015-2019</w:t>
      </w:r>
      <w:r w:rsidRPr="00CD7A85">
        <w:rPr>
          <w:rFonts w:asciiTheme="minorBidi" w:hAnsiTheme="minorBidi" w:cstheme="minorBidi"/>
          <w:sz w:val="22"/>
          <w:szCs w:val="22"/>
          <w:rtl/>
          <w:lang w:bidi="he-IL"/>
        </w:rPr>
        <w:t>:</w:t>
      </w:r>
    </w:p>
    <w:p w14:paraId="05B1F1FF" w14:textId="77777777" w:rsidR="00CF38C9" w:rsidRPr="00CD7A85" w:rsidRDefault="00CF38C9" w:rsidP="0041535C">
      <w:pPr>
        <w:bidi/>
        <w:spacing w:line="360" w:lineRule="auto"/>
        <w:jc w:val="center"/>
        <w:rPr>
          <w:rFonts w:asciiTheme="minorBidi" w:hAnsiTheme="minorBidi" w:cstheme="minorBidi"/>
          <w:sz w:val="22"/>
          <w:szCs w:val="22"/>
          <w:rtl/>
          <w:lang w:bidi="he-IL"/>
        </w:rPr>
      </w:pPr>
      <w:r w:rsidRPr="00CD7A85">
        <w:rPr>
          <w:rFonts w:asciiTheme="minorBidi" w:hAnsiTheme="minorBidi" w:cstheme="minorBidi"/>
          <w:noProof/>
          <w:sz w:val="22"/>
          <w:szCs w:val="22"/>
          <w:rtl/>
          <w:lang w:bidi="he-IL"/>
        </w:rPr>
        <w:drawing>
          <wp:inline distT="0" distB="0" distL="0" distR="0" wp14:anchorId="20C28F09" wp14:editId="427144FE">
            <wp:extent cx="4691269" cy="2560320"/>
            <wp:effectExtent l="0" t="0" r="14605" b="114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694EC6" w14:textId="77777777" w:rsidR="002F0077" w:rsidRPr="00CD7A85" w:rsidRDefault="002F0077" w:rsidP="0041535C">
      <w:pPr>
        <w:bidi/>
        <w:spacing w:after="120" w:line="360" w:lineRule="auto"/>
        <w:jc w:val="both"/>
        <w:rPr>
          <w:rFonts w:asciiTheme="minorBidi" w:hAnsiTheme="minorBidi" w:cstheme="minorBidi"/>
          <w:b/>
          <w:bCs/>
          <w:sz w:val="22"/>
          <w:szCs w:val="22"/>
          <w:rtl/>
          <w:lang w:bidi="he-IL"/>
        </w:rPr>
      </w:pPr>
    </w:p>
    <w:p w14:paraId="49D24A77" w14:textId="6AA06FE3" w:rsidR="00303741" w:rsidRPr="00CD7A85" w:rsidRDefault="007C6F1F" w:rsidP="007B3521">
      <w:pPr>
        <w:bidi/>
        <w:spacing w:after="120" w:line="360" w:lineRule="auto"/>
        <w:jc w:val="both"/>
        <w:rPr>
          <w:rFonts w:asciiTheme="minorBidi" w:hAnsiTheme="minorBidi" w:cstheme="minorBidi"/>
          <w:sz w:val="22"/>
          <w:szCs w:val="22"/>
          <w:rtl/>
          <w:lang w:bidi="he-IL"/>
        </w:rPr>
      </w:pPr>
      <w:r w:rsidRPr="00CD7A85">
        <w:rPr>
          <w:rFonts w:asciiTheme="minorBidi" w:hAnsiTheme="minorBidi" w:cstheme="minorBidi"/>
          <w:b/>
          <w:bCs/>
          <w:sz w:val="22"/>
          <w:szCs w:val="22"/>
          <w:rtl/>
          <w:lang w:bidi="he-IL"/>
        </w:rPr>
        <w:lastRenderedPageBreak/>
        <w:t>שני הענפים האחראים לעליה במספר ההרוגים: 'בניה' ו'שירותים ומסחר'.</w:t>
      </w:r>
      <w:r w:rsidRPr="00CD7A85">
        <w:rPr>
          <w:rFonts w:asciiTheme="minorBidi" w:hAnsiTheme="minorBidi" w:cstheme="minorBidi"/>
          <w:sz w:val="22"/>
          <w:szCs w:val="22"/>
          <w:rtl/>
          <w:lang w:bidi="he-IL"/>
        </w:rPr>
        <w:t xml:space="preserve"> </w:t>
      </w:r>
    </w:p>
    <w:p w14:paraId="6F29BA01" w14:textId="77777777" w:rsidR="00303741" w:rsidRPr="00180EAE" w:rsidRDefault="00CE3FB7" w:rsidP="0041535C">
      <w:pPr>
        <w:bidi/>
        <w:spacing w:after="120" w:line="360" w:lineRule="auto"/>
        <w:jc w:val="both"/>
        <w:rPr>
          <w:rFonts w:asciiTheme="minorBidi" w:hAnsiTheme="minorBidi" w:cstheme="minorBidi"/>
          <w:sz w:val="22"/>
          <w:szCs w:val="22"/>
          <w:rtl/>
          <w:lang w:bidi="he-IL"/>
        </w:rPr>
      </w:pPr>
      <w:r w:rsidRPr="00CD7A85">
        <w:rPr>
          <w:rFonts w:asciiTheme="minorBidi" w:hAnsiTheme="minorBidi" w:cstheme="minorBidi"/>
          <w:b/>
          <w:bCs/>
          <w:sz w:val="22"/>
          <w:szCs w:val="22"/>
          <w:u w:val="single"/>
          <w:rtl/>
          <w:lang w:bidi="he-IL"/>
        </w:rPr>
        <w:t>ב</w:t>
      </w:r>
      <w:r w:rsidR="007C6F1F" w:rsidRPr="00CD7A85">
        <w:rPr>
          <w:rFonts w:asciiTheme="minorBidi" w:hAnsiTheme="minorBidi" w:cstheme="minorBidi"/>
          <w:b/>
          <w:bCs/>
          <w:sz w:val="22"/>
          <w:szCs w:val="22"/>
          <w:u w:val="single"/>
          <w:rtl/>
          <w:lang w:bidi="he-IL"/>
        </w:rPr>
        <w:t>ענף הבניה</w:t>
      </w:r>
      <w:r w:rsidRPr="00CD7A85">
        <w:rPr>
          <w:rFonts w:asciiTheme="minorBidi" w:hAnsiTheme="minorBidi" w:cstheme="minorBidi"/>
          <w:sz w:val="22"/>
          <w:szCs w:val="22"/>
          <w:rtl/>
          <w:lang w:bidi="he-IL"/>
        </w:rPr>
        <w:t xml:space="preserve"> </w:t>
      </w:r>
      <w:r w:rsidRPr="00CD7A85">
        <w:rPr>
          <w:rFonts w:asciiTheme="minorBidi" w:hAnsiTheme="minorBidi" w:cstheme="minorBidi"/>
          <w:b/>
          <w:bCs/>
          <w:sz w:val="22"/>
          <w:szCs w:val="22"/>
          <w:rtl/>
          <w:lang w:bidi="he-IL"/>
        </w:rPr>
        <w:t>-</w:t>
      </w:r>
      <w:r w:rsidR="007C6F1F" w:rsidRPr="00CD7A85">
        <w:rPr>
          <w:rFonts w:asciiTheme="minorBidi" w:hAnsiTheme="minorBidi" w:cstheme="minorBidi"/>
          <w:sz w:val="22"/>
          <w:szCs w:val="22"/>
          <w:rtl/>
          <w:lang w:bidi="he-IL"/>
        </w:rPr>
        <w:t xml:space="preserve"> הענף המוביל במספר ההרוגים</w:t>
      </w:r>
      <w:r w:rsidRPr="00CD7A85">
        <w:rPr>
          <w:rFonts w:asciiTheme="minorBidi" w:hAnsiTheme="minorBidi" w:cstheme="minorBidi"/>
          <w:sz w:val="22"/>
          <w:szCs w:val="22"/>
          <w:rtl/>
          <w:lang w:bidi="he-IL"/>
        </w:rPr>
        <w:t xml:space="preserve"> - נ</w:t>
      </w:r>
      <w:r w:rsidR="007C6F1F" w:rsidRPr="00CD7A85">
        <w:rPr>
          <w:rFonts w:asciiTheme="minorBidi" w:hAnsiTheme="minorBidi" w:cstheme="minorBidi"/>
          <w:sz w:val="22"/>
          <w:szCs w:val="22"/>
          <w:rtl/>
          <w:lang w:bidi="he-IL"/>
        </w:rPr>
        <w:t>רש</w:t>
      </w:r>
      <w:r w:rsidRPr="00CD7A85">
        <w:rPr>
          <w:rFonts w:asciiTheme="minorBidi" w:hAnsiTheme="minorBidi" w:cstheme="minorBidi"/>
          <w:sz w:val="22"/>
          <w:szCs w:val="22"/>
          <w:rtl/>
          <w:lang w:bidi="he-IL"/>
        </w:rPr>
        <w:t>מה</w:t>
      </w:r>
      <w:r w:rsidR="007C6F1F" w:rsidRPr="00CD7A85">
        <w:rPr>
          <w:rFonts w:asciiTheme="minorBidi" w:hAnsiTheme="minorBidi" w:cstheme="minorBidi"/>
          <w:sz w:val="22"/>
          <w:szCs w:val="22"/>
          <w:rtl/>
          <w:lang w:bidi="he-IL"/>
        </w:rPr>
        <w:t xml:space="preserve"> עליה </w:t>
      </w:r>
      <w:r w:rsidRPr="00CD7A85">
        <w:rPr>
          <w:rFonts w:asciiTheme="minorBidi" w:hAnsiTheme="minorBidi" w:cstheme="minorBidi"/>
          <w:sz w:val="22"/>
          <w:szCs w:val="22"/>
          <w:rtl/>
          <w:lang w:bidi="he-IL"/>
        </w:rPr>
        <w:t xml:space="preserve">של </w:t>
      </w:r>
      <w:r w:rsidRPr="00180EAE">
        <w:rPr>
          <w:rFonts w:asciiTheme="minorBidi" w:hAnsiTheme="minorBidi" w:cstheme="minorBidi"/>
          <w:sz w:val="22"/>
          <w:szCs w:val="22"/>
          <w:rtl/>
          <w:lang w:bidi="he-IL"/>
        </w:rPr>
        <w:t>26% במספר ההרוגים במחצית הראשונה 2019 לעומת מספרם בתקופה המקבילה בשנה שעברה</w:t>
      </w:r>
      <w:r w:rsidR="003F5419" w:rsidRPr="00180EAE">
        <w:rPr>
          <w:rFonts w:asciiTheme="minorBidi" w:hAnsiTheme="minorBidi" w:cstheme="minorBidi"/>
          <w:sz w:val="22"/>
          <w:szCs w:val="22"/>
          <w:rtl/>
          <w:lang w:bidi="he-IL"/>
        </w:rPr>
        <w:t xml:space="preserve"> (24 לעומת 19, בהתאמה)</w:t>
      </w:r>
      <w:r w:rsidRPr="00180EAE">
        <w:rPr>
          <w:rFonts w:asciiTheme="minorBidi" w:hAnsiTheme="minorBidi" w:cstheme="minorBidi"/>
          <w:sz w:val="22"/>
          <w:szCs w:val="22"/>
          <w:rtl/>
          <w:lang w:bidi="he-IL"/>
        </w:rPr>
        <w:t xml:space="preserve">. </w:t>
      </w:r>
    </w:p>
    <w:p w14:paraId="169D66DB" w14:textId="06CDA4E3" w:rsidR="00CE3FB7" w:rsidRPr="00CD7A85" w:rsidRDefault="00303741" w:rsidP="0041535C">
      <w:pPr>
        <w:bidi/>
        <w:spacing w:after="120" w:line="360" w:lineRule="auto"/>
        <w:jc w:val="both"/>
        <w:rPr>
          <w:rFonts w:asciiTheme="minorBidi" w:hAnsiTheme="minorBidi" w:cstheme="minorBidi"/>
          <w:sz w:val="22"/>
          <w:szCs w:val="22"/>
          <w:rtl/>
          <w:lang w:bidi="he-IL"/>
        </w:rPr>
      </w:pPr>
      <w:r w:rsidRPr="00180EAE">
        <w:rPr>
          <w:rFonts w:asciiTheme="minorBidi" w:hAnsiTheme="minorBidi" w:cstheme="minorBidi"/>
          <w:b/>
          <w:bCs/>
          <w:sz w:val="22"/>
          <w:szCs w:val="22"/>
          <w:u w:val="single"/>
          <w:rtl/>
          <w:lang w:bidi="he-IL"/>
        </w:rPr>
        <w:t>שירותים ומסחר</w:t>
      </w:r>
      <w:r w:rsidRPr="00180EAE">
        <w:rPr>
          <w:rFonts w:asciiTheme="minorBidi" w:hAnsiTheme="minorBidi" w:cstheme="minorBidi"/>
          <w:b/>
          <w:bCs/>
          <w:sz w:val="22"/>
          <w:szCs w:val="22"/>
          <w:rtl/>
          <w:lang w:bidi="he-IL"/>
        </w:rPr>
        <w:t xml:space="preserve"> -</w:t>
      </w:r>
      <w:r w:rsidRPr="00180EAE">
        <w:rPr>
          <w:rFonts w:asciiTheme="minorBidi" w:hAnsiTheme="minorBidi" w:cstheme="minorBidi"/>
          <w:sz w:val="22"/>
          <w:szCs w:val="22"/>
          <w:rtl/>
          <w:lang w:bidi="he-IL"/>
        </w:rPr>
        <w:t xml:space="preserve"> </w:t>
      </w:r>
      <w:r w:rsidR="00CE3FB7" w:rsidRPr="00180EAE">
        <w:rPr>
          <w:rFonts w:asciiTheme="minorBidi" w:hAnsiTheme="minorBidi" w:cstheme="minorBidi"/>
          <w:sz w:val="22"/>
          <w:szCs w:val="22"/>
          <w:rtl/>
          <w:lang w:bidi="he-IL"/>
        </w:rPr>
        <w:t>בענף 'שירותים ומסחר'</w:t>
      </w:r>
      <w:r w:rsidRPr="00180EAE">
        <w:rPr>
          <w:rFonts w:asciiTheme="minorBidi" w:hAnsiTheme="minorBidi" w:cstheme="minorBidi"/>
          <w:sz w:val="22"/>
          <w:szCs w:val="22"/>
          <w:rtl/>
          <w:lang w:bidi="he-IL"/>
        </w:rPr>
        <w:t xml:space="preserve"> נרשמה אף עלייה משמעותית יותר </w:t>
      </w:r>
      <w:r w:rsidR="002F0077" w:rsidRPr="00180EAE">
        <w:rPr>
          <w:rFonts w:asciiTheme="minorBidi" w:hAnsiTheme="minorBidi" w:cstheme="minorBidi"/>
          <w:sz w:val="22"/>
          <w:szCs w:val="22"/>
          <w:rtl/>
          <w:lang w:bidi="he-IL"/>
        </w:rPr>
        <w:t>של</w:t>
      </w:r>
      <w:r w:rsidR="00CE3FB7" w:rsidRPr="00180EAE">
        <w:rPr>
          <w:rFonts w:asciiTheme="minorBidi" w:hAnsiTheme="minorBidi" w:cstheme="minorBidi"/>
          <w:sz w:val="22"/>
          <w:szCs w:val="22"/>
          <w:rtl/>
          <w:lang w:bidi="he-IL"/>
        </w:rPr>
        <w:t xml:space="preserve"> 66%</w:t>
      </w:r>
      <w:r w:rsidR="00CE3FB7" w:rsidRPr="00CD7A85">
        <w:rPr>
          <w:rFonts w:asciiTheme="minorBidi" w:hAnsiTheme="minorBidi" w:cstheme="minorBidi"/>
          <w:sz w:val="22"/>
          <w:szCs w:val="22"/>
          <w:rtl/>
          <w:lang w:bidi="he-IL"/>
        </w:rPr>
        <w:t xml:space="preserve"> במספר ההרוגים בתקופה ז</w:t>
      </w:r>
      <w:r w:rsidR="007B3521">
        <w:rPr>
          <w:rFonts w:asciiTheme="minorBidi" w:hAnsiTheme="minorBidi" w:cstheme="minorBidi" w:hint="cs"/>
          <w:sz w:val="22"/>
          <w:szCs w:val="22"/>
          <w:rtl/>
          <w:lang w:bidi="he-IL"/>
        </w:rPr>
        <w:t>את</w:t>
      </w:r>
      <w:r w:rsidR="00CE3FB7" w:rsidRPr="00CD7A85">
        <w:rPr>
          <w:rFonts w:asciiTheme="minorBidi" w:hAnsiTheme="minorBidi" w:cstheme="minorBidi"/>
          <w:sz w:val="22"/>
          <w:szCs w:val="22"/>
          <w:rtl/>
          <w:lang w:bidi="he-IL"/>
        </w:rPr>
        <w:t xml:space="preserve"> לעומת התקופה המקבילה בשנה שעבר</w:t>
      </w:r>
      <w:r w:rsidR="003F5419" w:rsidRPr="00CD7A85">
        <w:rPr>
          <w:rFonts w:asciiTheme="minorBidi" w:hAnsiTheme="minorBidi" w:cstheme="minorBidi"/>
          <w:sz w:val="22"/>
          <w:szCs w:val="22"/>
          <w:rtl/>
          <w:lang w:bidi="he-IL"/>
        </w:rPr>
        <w:t xml:space="preserve"> (10 לעומת 6, בהתאמה)</w:t>
      </w:r>
      <w:r w:rsidR="00CE3FB7" w:rsidRPr="00CD7A85">
        <w:rPr>
          <w:rFonts w:asciiTheme="minorBidi" w:hAnsiTheme="minorBidi" w:cstheme="minorBidi"/>
          <w:sz w:val="22"/>
          <w:szCs w:val="22"/>
          <w:rtl/>
          <w:lang w:bidi="he-IL"/>
        </w:rPr>
        <w:t>.</w:t>
      </w:r>
    </w:p>
    <w:p w14:paraId="2F7FA146" w14:textId="77777777" w:rsidR="003F5419" w:rsidRPr="00CD7A85" w:rsidRDefault="00CE3FB7" w:rsidP="0041535C">
      <w:pPr>
        <w:bidi/>
        <w:spacing w:after="120" w:line="360" w:lineRule="auto"/>
        <w:jc w:val="both"/>
        <w:rPr>
          <w:rFonts w:asciiTheme="minorBidi" w:hAnsiTheme="minorBidi" w:cstheme="minorBidi"/>
          <w:sz w:val="22"/>
          <w:szCs w:val="22"/>
          <w:rtl/>
          <w:lang w:bidi="he-IL"/>
        </w:rPr>
      </w:pPr>
      <w:r w:rsidRPr="00CD7A85">
        <w:rPr>
          <w:rFonts w:asciiTheme="minorBidi" w:hAnsiTheme="minorBidi" w:cstheme="minorBidi"/>
          <w:sz w:val="22"/>
          <w:szCs w:val="22"/>
          <w:u w:val="single"/>
          <w:rtl/>
          <w:lang w:bidi="he-IL"/>
        </w:rPr>
        <w:t>בטבלה שלהלן</w:t>
      </w:r>
      <w:r w:rsidR="003F5419" w:rsidRPr="00CD7A85">
        <w:rPr>
          <w:rFonts w:asciiTheme="minorBidi" w:hAnsiTheme="minorBidi" w:cstheme="minorBidi"/>
          <w:sz w:val="22"/>
          <w:szCs w:val="22"/>
          <w:u w:val="single"/>
          <w:rtl/>
          <w:lang w:bidi="he-IL"/>
        </w:rPr>
        <w:t xml:space="preserve"> מספר ההרוגים בתאונות עבודה בכל הענפים ולפי ענף, במחצית הראשונה של השנים 2015-2019</w:t>
      </w:r>
      <w:r w:rsidR="003F5419" w:rsidRPr="00CD7A85">
        <w:rPr>
          <w:rFonts w:asciiTheme="minorBidi" w:hAnsiTheme="minorBidi" w:cstheme="minorBidi"/>
          <w:sz w:val="22"/>
          <w:szCs w:val="22"/>
          <w:rtl/>
          <w:lang w:bidi="he-IL"/>
        </w:rPr>
        <w:t>:</w:t>
      </w:r>
    </w:p>
    <w:tbl>
      <w:tblPr>
        <w:tblStyle w:val="MediumGrid3-Accent1"/>
        <w:bidiVisual/>
        <w:tblW w:w="0" w:type="auto"/>
        <w:tblLook w:val="04A0" w:firstRow="1" w:lastRow="0" w:firstColumn="1" w:lastColumn="0" w:noHBand="0" w:noVBand="1"/>
      </w:tblPr>
      <w:tblGrid>
        <w:gridCol w:w="2359"/>
        <w:gridCol w:w="1423"/>
        <w:gridCol w:w="1423"/>
        <w:gridCol w:w="1601"/>
        <w:gridCol w:w="1247"/>
        <w:gridCol w:w="1863"/>
      </w:tblGrid>
      <w:tr w:rsidR="00CE3FB7" w:rsidRPr="00CD7A85" w14:paraId="372FC56D" w14:textId="77777777" w:rsidTr="003F5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4E5AB95E" w14:textId="77777777" w:rsidR="00CE3FB7" w:rsidRPr="00CD7A85" w:rsidRDefault="00CE3FB7" w:rsidP="0041535C">
            <w:pPr>
              <w:bidi/>
              <w:spacing w:line="360" w:lineRule="auto"/>
              <w:rPr>
                <w:rFonts w:asciiTheme="minorBidi" w:hAnsiTheme="minorBidi"/>
                <w:sz w:val="22"/>
                <w:szCs w:val="22"/>
                <w:rtl/>
                <w:lang w:bidi="he-IL"/>
              </w:rPr>
            </w:pPr>
          </w:p>
        </w:tc>
        <w:tc>
          <w:tcPr>
            <w:tcW w:w="1423" w:type="dxa"/>
          </w:tcPr>
          <w:p w14:paraId="09863B2B" w14:textId="77777777" w:rsidR="00CE3FB7" w:rsidRPr="00CD7A85" w:rsidRDefault="00CE3FB7" w:rsidP="0041535C">
            <w:pPr>
              <w:bidi/>
              <w:spacing w:line="360" w:lineRule="auto"/>
              <w:cnfStyle w:val="100000000000" w:firstRow="1" w:lastRow="0" w:firstColumn="0" w:lastColumn="0" w:oddVBand="0" w:evenVBand="0" w:oddHBand="0"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2015</w:t>
            </w:r>
            <w:r w:rsidRPr="00CD7A85">
              <w:rPr>
                <w:rStyle w:val="FootnoteReference"/>
                <w:rFonts w:asciiTheme="minorBidi" w:hAnsiTheme="minorBidi"/>
                <w:sz w:val="22"/>
                <w:szCs w:val="22"/>
                <w:rtl/>
                <w:lang w:bidi="he-IL"/>
              </w:rPr>
              <w:footnoteReference w:id="1"/>
            </w:r>
          </w:p>
        </w:tc>
        <w:tc>
          <w:tcPr>
            <w:tcW w:w="1423" w:type="dxa"/>
          </w:tcPr>
          <w:p w14:paraId="7D98A94C" w14:textId="77777777" w:rsidR="00CE3FB7" w:rsidRPr="00CD7A85" w:rsidRDefault="00CE3FB7" w:rsidP="0041535C">
            <w:pPr>
              <w:bidi/>
              <w:spacing w:line="360" w:lineRule="auto"/>
              <w:cnfStyle w:val="100000000000" w:firstRow="1" w:lastRow="0" w:firstColumn="0" w:lastColumn="0" w:oddVBand="0" w:evenVBand="0" w:oddHBand="0"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2016</w:t>
            </w:r>
            <w:r w:rsidRPr="00CD7A85">
              <w:rPr>
                <w:rStyle w:val="FootnoteReference"/>
                <w:rFonts w:asciiTheme="minorBidi" w:hAnsiTheme="minorBidi"/>
                <w:sz w:val="22"/>
                <w:szCs w:val="22"/>
                <w:rtl/>
                <w:lang w:bidi="he-IL"/>
              </w:rPr>
              <w:footnoteReference w:id="2"/>
            </w:r>
          </w:p>
        </w:tc>
        <w:tc>
          <w:tcPr>
            <w:tcW w:w="1601" w:type="dxa"/>
          </w:tcPr>
          <w:p w14:paraId="64A3D027" w14:textId="77777777" w:rsidR="00CE3FB7" w:rsidRPr="00CD7A85" w:rsidRDefault="00CE3FB7" w:rsidP="0041535C">
            <w:pPr>
              <w:bidi/>
              <w:spacing w:line="360" w:lineRule="auto"/>
              <w:cnfStyle w:val="100000000000" w:firstRow="1" w:lastRow="0" w:firstColumn="0" w:lastColumn="0" w:oddVBand="0" w:evenVBand="0" w:oddHBand="0"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2017</w:t>
            </w:r>
            <w:r w:rsidRPr="00CD7A85">
              <w:rPr>
                <w:rStyle w:val="FootnoteReference"/>
                <w:rFonts w:asciiTheme="minorBidi" w:hAnsiTheme="minorBidi"/>
                <w:sz w:val="22"/>
                <w:szCs w:val="22"/>
                <w:rtl/>
                <w:lang w:bidi="he-IL"/>
              </w:rPr>
              <w:footnoteReference w:id="3"/>
            </w:r>
          </w:p>
        </w:tc>
        <w:tc>
          <w:tcPr>
            <w:tcW w:w="1247" w:type="dxa"/>
          </w:tcPr>
          <w:p w14:paraId="7B7558A2" w14:textId="77777777" w:rsidR="00CE3FB7" w:rsidRPr="00CD7A85" w:rsidRDefault="00CE3FB7" w:rsidP="0041535C">
            <w:pPr>
              <w:bidi/>
              <w:spacing w:line="360" w:lineRule="auto"/>
              <w:cnfStyle w:val="100000000000" w:firstRow="1" w:lastRow="0" w:firstColumn="0" w:lastColumn="0" w:oddVBand="0" w:evenVBand="0" w:oddHBand="0"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2018</w:t>
            </w:r>
            <w:r w:rsidRPr="00CD7A85">
              <w:rPr>
                <w:rStyle w:val="FootnoteReference"/>
                <w:rFonts w:asciiTheme="minorBidi" w:hAnsiTheme="minorBidi"/>
                <w:sz w:val="22"/>
                <w:szCs w:val="22"/>
                <w:rtl/>
                <w:lang w:bidi="he-IL"/>
              </w:rPr>
              <w:footnoteReference w:id="4"/>
            </w:r>
          </w:p>
        </w:tc>
        <w:tc>
          <w:tcPr>
            <w:tcW w:w="1863" w:type="dxa"/>
          </w:tcPr>
          <w:p w14:paraId="5FD63157" w14:textId="77777777" w:rsidR="00CE3FB7" w:rsidRPr="00CD7A85" w:rsidRDefault="00CE3FB7" w:rsidP="0041535C">
            <w:pPr>
              <w:bidi/>
              <w:spacing w:line="360" w:lineRule="auto"/>
              <w:cnfStyle w:val="100000000000" w:firstRow="1" w:lastRow="0" w:firstColumn="0" w:lastColumn="0" w:oddVBand="0" w:evenVBand="0" w:oddHBand="0"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2019</w:t>
            </w:r>
            <w:r w:rsidRPr="00CD7A85">
              <w:rPr>
                <w:rStyle w:val="FootnoteReference"/>
                <w:rFonts w:asciiTheme="minorBidi" w:hAnsiTheme="minorBidi"/>
                <w:sz w:val="22"/>
                <w:szCs w:val="22"/>
                <w:rtl/>
                <w:lang w:bidi="he-IL"/>
              </w:rPr>
              <w:footnoteReference w:id="5"/>
            </w:r>
          </w:p>
        </w:tc>
      </w:tr>
      <w:tr w:rsidR="00CE3FB7" w:rsidRPr="00CD7A85" w14:paraId="2C71F73A" w14:textId="77777777" w:rsidTr="003F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3EB5B2E0" w14:textId="77777777" w:rsidR="00CE3FB7" w:rsidRPr="00CD7A85" w:rsidRDefault="00CE3FB7" w:rsidP="0041535C">
            <w:pPr>
              <w:bidi/>
              <w:spacing w:line="360" w:lineRule="auto"/>
              <w:rPr>
                <w:rFonts w:asciiTheme="minorBidi" w:hAnsiTheme="minorBidi"/>
                <w:sz w:val="22"/>
                <w:szCs w:val="22"/>
                <w:rtl/>
                <w:lang w:bidi="he-IL"/>
              </w:rPr>
            </w:pPr>
            <w:r w:rsidRPr="00CD7A85">
              <w:rPr>
                <w:rFonts w:asciiTheme="minorBidi" w:hAnsiTheme="minorBidi"/>
                <w:sz w:val="22"/>
                <w:szCs w:val="22"/>
                <w:rtl/>
                <w:lang w:bidi="he-IL"/>
              </w:rPr>
              <w:t>מס' הרוגים כללי</w:t>
            </w:r>
          </w:p>
        </w:tc>
        <w:tc>
          <w:tcPr>
            <w:tcW w:w="1423" w:type="dxa"/>
          </w:tcPr>
          <w:p w14:paraId="5B9C11C4" w14:textId="77777777" w:rsidR="00CE3FB7" w:rsidRPr="00CD7A85" w:rsidRDefault="00CE3FB7" w:rsidP="0041535C">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17</w:t>
            </w:r>
          </w:p>
        </w:tc>
        <w:tc>
          <w:tcPr>
            <w:tcW w:w="1423" w:type="dxa"/>
          </w:tcPr>
          <w:p w14:paraId="0D62769B" w14:textId="77777777" w:rsidR="00CE3FB7" w:rsidRPr="00CD7A85" w:rsidRDefault="00CE3FB7" w:rsidP="0041535C">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32</w:t>
            </w:r>
          </w:p>
        </w:tc>
        <w:tc>
          <w:tcPr>
            <w:tcW w:w="1601" w:type="dxa"/>
          </w:tcPr>
          <w:p w14:paraId="156CC917" w14:textId="77777777" w:rsidR="00CE3FB7" w:rsidRPr="00CD7A85" w:rsidRDefault="00CE3FB7" w:rsidP="0041535C">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25</w:t>
            </w:r>
          </w:p>
        </w:tc>
        <w:tc>
          <w:tcPr>
            <w:tcW w:w="1247" w:type="dxa"/>
          </w:tcPr>
          <w:p w14:paraId="096B345A" w14:textId="77777777" w:rsidR="00CE3FB7" w:rsidRPr="00CD7A85" w:rsidRDefault="00CE3FB7" w:rsidP="0041535C">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33</w:t>
            </w:r>
          </w:p>
        </w:tc>
        <w:tc>
          <w:tcPr>
            <w:tcW w:w="1863" w:type="dxa"/>
          </w:tcPr>
          <w:p w14:paraId="70C40EA0" w14:textId="77777777" w:rsidR="00CE3FB7" w:rsidRPr="00CD7A85" w:rsidRDefault="00CE3FB7" w:rsidP="0041535C">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43 (38 תאונות)</w:t>
            </w:r>
          </w:p>
        </w:tc>
      </w:tr>
      <w:tr w:rsidR="00CE3FB7" w:rsidRPr="00CD7A85" w14:paraId="1A1E7756" w14:textId="77777777" w:rsidTr="003F5419">
        <w:tc>
          <w:tcPr>
            <w:cnfStyle w:val="001000000000" w:firstRow="0" w:lastRow="0" w:firstColumn="1" w:lastColumn="0" w:oddVBand="0" w:evenVBand="0" w:oddHBand="0" w:evenHBand="0" w:firstRowFirstColumn="0" w:firstRowLastColumn="0" w:lastRowFirstColumn="0" w:lastRowLastColumn="0"/>
            <w:tcW w:w="2359" w:type="dxa"/>
          </w:tcPr>
          <w:p w14:paraId="2B264383" w14:textId="77777777" w:rsidR="00CE3FB7" w:rsidRPr="00CD7A85" w:rsidRDefault="00F26F8C" w:rsidP="0041535C">
            <w:pPr>
              <w:bidi/>
              <w:spacing w:line="360" w:lineRule="auto"/>
              <w:rPr>
                <w:rFonts w:asciiTheme="minorBidi" w:hAnsiTheme="minorBidi"/>
                <w:sz w:val="22"/>
                <w:szCs w:val="22"/>
                <w:rtl/>
                <w:lang w:bidi="he-IL"/>
              </w:rPr>
            </w:pPr>
            <w:r w:rsidRPr="00CD7A85">
              <w:rPr>
                <w:rFonts w:asciiTheme="minorBidi" w:hAnsiTheme="minorBidi"/>
                <w:sz w:val="22"/>
                <w:szCs w:val="22"/>
                <w:rtl/>
                <w:lang w:bidi="he-IL"/>
              </w:rPr>
              <w:t>ב</w:t>
            </w:r>
            <w:r w:rsidR="00CE3FB7" w:rsidRPr="00CD7A85">
              <w:rPr>
                <w:rFonts w:asciiTheme="minorBidi" w:hAnsiTheme="minorBidi"/>
                <w:sz w:val="22"/>
                <w:szCs w:val="22"/>
                <w:rtl/>
                <w:lang w:bidi="he-IL"/>
              </w:rPr>
              <w:t>בנין</w:t>
            </w:r>
          </w:p>
        </w:tc>
        <w:tc>
          <w:tcPr>
            <w:tcW w:w="1423" w:type="dxa"/>
          </w:tcPr>
          <w:p w14:paraId="75F8D174" w14:textId="77777777" w:rsidR="00CE3FB7" w:rsidRPr="00CD7A85" w:rsidRDefault="00CE3FB7" w:rsidP="0041535C">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8</w:t>
            </w:r>
          </w:p>
        </w:tc>
        <w:tc>
          <w:tcPr>
            <w:tcW w:w="1423" w:type="dxa"/>
          </w:tcPr>
          <w:p w14:paraId="65883950" w14:textId="77777777" w:rsidR="00CE3FB7" w:rsidRPr="00CD7A85" w:rsidRDefault="00CE3FB7" w:rsidP="0041535C">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19</w:t>
            </w:r>
            <w:r w:rsidRPr="00CD7A85">
              <w:rPr>
                <w:rStyle w:val="FootnoteReference"/>
                <w:rFonts w:asciiTheme="minorBidi" w:hAnsiTheme="minorBidi"/>
                <w:sz w:val="22"/>
                <w:szCs w:val="22"/>
                <w:rtl/>
                <w:lang w:bidi="he-IL"/>
              </w:rPr>
              <w:footnoteReference w:id="6"/>
            </w:r>
          </w:p>
        </w:tc>
        <w:tc>
          <w:tcPr>
            <w:tcW w:w="1601" w:type="dxa"/>
          </w:tcPr>
          <w:p w14:paraId="360B9ABD" w14:textId="77777777" w:rsidR="00CE3FB7" w:rsidRPr="00CD7A85" w:rsidRDefault="00CE3FB7" w:rsidP="0041535C">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16</w:t>
            </w:r>
            <w:r w:rsidRPr="00CD7A85">
              <w:rPr>
                <w:rStyle w:val="FootnoteReference"/>
                <w:rFonts w:asciiTheme="minorBidi" w:hAnsiTheme="minorBidi"/>
                <w:sz w:val="22"/>
                <w:szCs w:val="22"/>
                <w:rtl/>
                <w:lang w:bidi="he-IL"/>
              </w:rPr>
              <w:footnoteReference w:id="7"/>
            </w:r>
          </w:p>
        </w:tc>
        <w:tc>
          <w:tcPr>
            <w:tcW w:w="1247" w:type="dxa"/>
          </w:tcPr>
          <w:p w14:paraId="763C14FB" w14:textId="77777777" w:rsidR="00CE3FB7" w:rsidRPr="00CD7A85" w:rsidRDefault="00CE3FB7" w:rsidP="0041535C">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19</w:t>
            </w:r>
            <w:r w:rsidRPr="00CD7A85">
              <w:rPr>
                <w:rStyle w:val="FootnoteReference"/>
                <w:rFonts w:asciiTheme="minorBidi" w:hAnsiTheme="minorBidi"/>
                <w:sz w:val="22"/>
                <w:szCs w:val="22"/>
                <w:rtl/>
                <w:lang w:bidi="he-IL"/>
              </w:rPr>
              <w:footnoteReference w:id="8"/>
            </w:r>
          </w:p>
        </w:tc>
        <w:tc>
          <w:tcPr>
            <w:tcW w:w="1863" w:type="dxa"/>
          </w:tcPr>
          <w:p w14:paraId="79FDD698" w14:textId="77777777" w:rsidR="00CE3FB7" w:rsidRPr="00CD7A85" w:rsidRDefault="00CE3FB7" w:rsidP="0041535C">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24 (20 תאונות)</w:t>
            </w:r>
          </w:p>
        </w:tc>
      </w:tr>
      <w:tr w:rsidR="00CE3FB7" w:rsidRPr="00CD7A85" w14:paraId="472F3607" w14:textId="77777777" w:rsidTr="003F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1DD4EA4C" w14:textId="77777777" w:rsidR="00CE3FB7" w:rsidRPr="00CD7A85" w:rsidRDefault="00F26F8C" w:rsidP="0041535C">
            <w:pPr>
              <w:bidi/>
              <w:spacing w:line="360" w:lineRule="auto"/>
              <w:rPr>
                <w:rFonts w:asciiTheme="minorBidi" w:hAnsiTheme="minorBidi"/>
                <w:sz w:val="22"/>
                <w:szCs w:val="22"/>
                <w:rtl/>
                <w:lang w:bidi="he-IL"/>
              </w:rPr>
            </w:pPr>
            <w:r w:rsidRPr="00CD7A85">
              <w:rPr>
                <w:rFonts w:asciiTheme="minorBidi" w:hAnsiTheme="minorBidi"/>
                <w:sz w:val="22"/>
                <w:szCs w:val="22"/>
                <w:rtl/>
                <w:lang w:bidi="he-IL"/>
              </w:rPr>
              <w:t>ב</w:t>
            </w:r>
            <w:r w:rsidR="00CE3FB7" w:rsidRPr="00CD7A85">
              <w:rPr>
                <w:rFonts w:asciiTheme="minorBidi" w:hAnsiTheme="minorBidi"/>
                <w:sz w:val="22"/>
                <w:szCs w:val="22"/>
                <w:rtl/>
                <w:lang w:bidi="he-IL"/>
              </w:rPr>
              <w:t>תעשיה</w:t>
            </w:r>
          </w:p>
        </w:tc>
        <w:tc>
          <w:tcPr>
            <w:tcW w:w="1423" w:type="dxa"/>
          </w:tcPr>
          <w:p w14:paraId="0C2D271A" w14:textId="77777777" w:rsidR="00CE3FB7" w:rsidRPr="00CD7A85" w:rsidRDefault="00CE3FB7" w:rsidP="0041535C">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3</w:t>
            </w:r>
          </w:p>
        </w:tc>
        <w:tc>
          <w:tcPr>
            <w:tcW w:w="1423" w:type="dxa"/>
          </w:tcPr>
          <w:p w14:paraId="3B41BA7B" w14:textId="77777777" w:rsidR="00CE3FB7" w:rsidRPr="00CD7A85" w:rsidRDefault="00CE3FB7" w:rsidP="0041535C">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5</w:t>
            </w:r>
          </w:p>
        </w:tc>
        <w:tc>
          <w:tcPr>
            <w:tcW w:w="1601" w:type="dxa"/>
          </w:tcPr>
          <w:p w14:paraId="639BD6B3" w14:textId="77777777" w:rsidR="00CE3FB7" w:rsidRPr="00CD7A85" w:rsidRDefault="00CE3FB7" w:rsidP="0041535C">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5</w:t>
            </w:r>
          </w:p>
        </w:tc>
        <w:tc>
          <w:tcPr>
            <w:tcW w:w="1247" w:type="dxa"/>
          </w:tcPr>
          <w:p w14:paraId="6C887EF2" w14:textId="77777777" w:rsidR="00CE3FB7" w:rsidRPr="00CD7A85" w:rsidRDefault="00CE3FB7" w:rsidP="0041535C">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5</w:t>
            </w:r>
          </w:p>
        </w:tc>
        <w:tc>
          <w:tcPr>
            <w:tcW w:w="1863" w:type="dxa"/>
          </w:tcPr>
          <w:p w14:paraId="4B7AF5A9" w14:textId="77777777" w:rsidR="00CE3FB7" w:rsidRPr="00CD7A85" w:rsidRDefault="00CE3FB7" w:rsidP="0041535C">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6</w:t>
            </w:r>
          </w:p>
        </w:tc>
      </w:tr>
      <w:tr w:rsidR="00CE3FB7" w:rsidRPr="00CD7A85" w14:paraId="7F157391" w14:textId="77777777" w:rsidTr="003F5419">
        <w:tc>
          <w:tcPr>
            <w:cnfStyle w:val="001000000000" w:firstRow="0" w:lastRow="0" w:firstColumn="1" w:lastColumn="0" w:oddVBand="0" w:evenVBand="0" w:oddHBand="0" w:evenHBand="0" w:firstRowFirstColumn="0" w:firstRowLastColumn="0" w:lastRowFirstColumn="0" w:lastRowLastColumn="0"/>
            <w:tcW w:w="2359" w:type="dxa"/>
          </w:tcPr>
          <w:p w14:paraId="79387804" w14:textId="77777777" w:rsidR="00CE3FB7" w:rsidRPr="00CD7A85" w:rsidRDefault="00F26F8C" w:rsidP="0041535C">
            <w:pPr>
              <w:bidi/>
              <w:spacing w:line="360" w:lineRule="auto"/>
              <w:rPr>
                <w:rFonts w:asciiTheme="minorBidi" w:hAnsiTheme="minorBidi"/>
                <w:sz w:val="22"/>
                <w:szCs w:val="22"/>
                <w:rtl/>
                <w:lang w:bidi="he-IL"/>
              </w:rPr>
            </w:pPr>
            <w:r w:rsidRPr="00CD7A85">
              <w:rPr>
                <w:rFonts w:asciiTheme="minorBidi" w:hAnsiTheme="minorBidi"/>
                <w:sz w:val="22"/>
                <w:szCs w:val="22"/>
                <w:rtl/>
                <w:lang w:bidi="he-IL"/>
              </w:rPr>
              <w:t>במסחר ו</w:t>
            </w:r>
            <w:r w:rsidR="00CE3FB7" w:rsidRPr="00CD7A85">
              <w:rPr>
                <w:rFonts w:asciiTheme="minorBidi" w:hAnsiTheme="minorBidi"/>
                <w:sz w:val="22"/>
                <w:szCs w:val="22"/>
                <w:rtl/>
                <w:lang w:bidi="he-IL"/>
              </w:rPr>
              <w:t>שירותים</w:t>
            </w:r>
          </w:p>
        </w:tc>
        <w:tc>
          <w:tcPr>
            <w:tcW w:w="1423" w:type="dxa"/>
          </w:tcPr>
          <w:p w14:paraId="06612A9E" w14:textId="77777777" w:rsidR="00CE3FB7" w:rsidRPr="00CD7A85" w:rsidRDefault="00CE3FB7" w:rsidP="0041535C">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5</w:t>
            </w:r>
          </w:p>
        </w:tc>
        <w:tc>
          <w:tcPr>
            <w:tcW w:w="1423" w:type="dxa"/>
          </w:tcPr>
          <w:p w14:paraId="58AC97EF" w14:textId="77777777" w:rsidR="00CE3FB7" w:rsidRPr="00CD7A85" w:rsidRDefault="00CE3FB7" w:rsidP="0041535C">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5</w:t>
            </w:r>
          </w:p>
        </w:tc>
        <w:tc>
          <w:tcPr>
            <w:tcW w:w="1601" w:type="dxa"/>
          </w:tcPr>
          <w:p w14:paraId="704D8FED" w14:textId="77777777" w:rsidR="00CE3FB7" w:rsidRPr="00CD7A85" w:rsidRDefault="00CE3FB7" w:rsidP="0041535C">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4 (3 תאונות)</w:t>
            </w:r>
          </w:p>
        </w:tc>
        <w:tc>
          <w:tcPr>
            <w:tcW w:w="1247" w:type="dxa"/>
          </w:tcPr>
          <w:p w14:paraId="6A976AB6" w14:textId="77777777" w:rsidR="00CE3FB7" w:rsidRPr="00CD7A85" w:rsidRDefault="00CE3FB7" w:rsidP="0041535C">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6</w:t>
            </w:r>
          </w:p>
        </w:tc>
        <w:tc>
          <w:tcPr>
            <w:tcW w:w="1863" w:type="dxa"/>
          </w:tcPr>
          <w:p w14:paraId="4DE5AC72" w14:textId="77777777" w:rsidR="00CE3FB7" w:rsidRPr="00CD7A85" w:rsidRDefault="00CE3FB7" w:rsidP="0041535C">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tl/>
                <w:lang w:bidi="ar-LB"/>
              </w:rPr>
            </w:pPr>
            <w:r w:rsidRPr="00CD7A85">
              <w:rPr>
                <w:rFonts w:asciiTheme="minorBidi" w:hAnsiTheme="minorBidi"/>
                <w:sz w:val="22"/>
                <w:szCs w:val="22"/>
                <w:rtl/>
                <w:lang w:bidi="he-IL"/>
              </w:rPr>
              <w:t>10 (9 תאונות)</w:t>
            </w:r>
          </w:p>
        </w:tc>
      </w:tr>
      <w:tr w:rsidR="00CE3FB7" w:rsidRPr="00CD7A85" w14:paraId="4720FD6C" w14:textId="77777777" w:rsidTr="003F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74FF7FED" w14:textId="77777777" w:rsidR="00CE3FB7" w:rsidRPr="00CD7A85" w:rsidRDefault="00F26F8C" w:rsidP="0041535C">
            <w:pPr>
              <w:bidi/>
              <w:spacing w:line="360" w:lineRule="auto"/>
              <w:rPr>
                <w:rFonts w:asciiTheme="minorBidi" w:hAnsiTheme="minorBidi"/>
                <w:sz w:val="22"/>
                <w:szCs w:val="22"/>
                <w:rtl/>
                <w:lang w:bidi="he-IL"/>
              </w:rPr>
            </w:pPr>
            <w:r w:rsidRPr="00CD7A85">
              <w:rPr>
                <w:rFonts w:asciiTheme="minorBidi" w:hAnsiTheme="minorBidi"/>
                <w:sz w:val="22"/>
                <w:szCs w:val="22"/>
                <w:rtl/>
                <w:lang w:bidi="he-IL"/>
              </w:rPr>
              <w:t>ב</w:t>
            </w:r>
            <w:r w:rsidR="00CE3FB7" w:rsidRPr="00CD7A85">
              <w:rPr>
                <w:rFonts w:asciiTheme="minorBidi" w:hAnsiTheme="minorBidi"/>
                <w:sz w:val="22"/>
                <w:szCs w:val="22"/>
                <w:rtl/>
                <w:lang w:bidi="he-IL"/>
              </w:rPr>
              <w:t>חקלאות</w:t>
            </w:r>
          </w:p>
        </w:tc>
        <w:tc>
          <w:tcPr>
            <w:tcW w:w="1423" w:type="dxa"/>
          </w:tcPr>
          <w:p w14:paraId="08DBA9DA" w14:textId="77777777" w:rsidR="00CE3FB7" w:rsidRPr="00CD7A85" w:rsidRDefault="00CE3FB7" w:rsidP="0041535C">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1</w:t>
            </w:r>
          </w:p>
        </w:tc>
        <w:tc>
          <w:tcPr>
            <w:tcW w:w="1423" w:type="dxa"/>
          </w:tcPr>
          <w:p w14:paraId="6E0FC252" w14:textId="77777777" w:rsidR="00CE3FB7" w:rsidRPr="00CD7A85" w:rsidRDefault="00CE3FB7" w:rsidP="0041535C">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3</w:t>
            </w:r>
          </w:p>
        </w:tc>
        <w:tc>
          <w:tcPr>
            <w:tcW w:w="1601" w:type="dxa"/>
          </w:tcPr>
          <w:p w14:paraId="6D9EB17B" w14:textId="77777777" w:rsidR="00CE3FB7" w:rsidRPr="00CD7A85" w:rsidRDefault="00CE3FB7" w:rsidP="0041535C">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1</w:t>
            </w:r>
          </w:p>
        </w:tc>
        <w:tc>
          <w:tcPr>
            <w:tcW w:w="1247" w:type="dxa"/>
          </w:tcPr>
          <w:p w14:paraId="7C0BB8E3" w14:textId="77777777" w:rsidR="00CE3FB7" w:rsidRPr="00CD7A85" w:rsidRDefault="00CE3FB7" w:rsidP="0041535C">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2</w:t>
            </w:r>
          </w:p>
        </w:tc>
        <w:tc>
          <w:tcPr>
            <w:tcW w:w="1863" w:type="dxa"/>
          </w:tcPr>
          <w:p w14:paraId="68C0CA62" w14:textId="77777777" w:rsidR="00CE3FB7" w:rsidRPr="00CD7A85" w:rsidRDefault="00CE3FB7" w:rsidP="0041535C">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3</w:t>
            </w:r>
          </w:p>
        </w:tc>
      </w:tr>
      <w:tr w:rsidR="00CE3FB7" w:rsidRPr="00CD7A85" w14:paraId="087D7A4C" w14:textId="77777777" w:rsidTr="003F5419">
        <w:tc>
          <w:tcPr>
            <w:cnfStyle w:val="001000000000" w:firstRow="0" w:lastRow="0" w:firstColumn="1" w:lastColumn="0" w:oddVBand="0" w:evenVBand="0" w:oddHBand="0" w:evenHBand="0" w:firstRowFirstColumn="0" w:firstRowLastColumn="0" w:lastRowFirstColumn="0" w:lastRowLastColumn="0"/>
            <w:tcW w:w="2359" w:type="dxa"/>
          </w:tcPr>
          <w:p w14:paraId="57A700AF" w14:textId="77777777" w:rsidR="00CE3FB7" w:rsidRPr="00CD7A85" w:rsidRDefault="00CE3FB7" w:rsidP="0041535C">
            <w:pPr>
              <w:bidi/>
              <w:spacing w:line="360" w:lineRule="auto"/>
              <w:rPr>
                <w:rFonts w:asciiTheme="minorBidi" w:hAnsiTheme="minorBidi"/>
                <w:sz w:val="22"/>
                <w:szCs w:val="22"/>
                <w:rtl/>
                <w:lang w:bidi="he-IL"/>
              </w:rPr>
            </w:pPr>
            <w:r w:rsidRPr="00CD7A85">
              <w:rPr>
                <w:rFonts w:asciiTheme="minorBidi" w:hAnsiTheme="minorBidi"/>
                <w:sz w:val="22"/>
                <w:szCs w:val="22"/>
                <w:rtl/>
                <w:lang w:bidi="he-IL"/>
              </w:rPr>
              <w:t>אחר</w:t>
            </w:r>
          </w:p>
        </w:tc>
        <w:tc>
          <w:tcPr>
            <w:tcW w:w="1423" w:type="dxa"/>
          </w:tcPr>
          <w:p w14:paraId="3CD21B5B" w14:textId="77777777" w:rsidR="00CE3FB7" w:rsidRPr="00CD7A85" w:rsidRDefault="00CE3FB7" w:rsidP="0041535C">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0</w:t>
            </w:r>
          </w:p>
        </w:tc>
        <w:tc>
          <w:tcPr>
            <w:tcW w:w="1423" w:type="dxa"/>
          </w:tcPr>
          <w:p w14:paraId="63704D78" w14:textId="77777777" w:rsidR="00CE3FB7" w:rsidRPr="00CD7A85" w:rsidRDefault="00CE3FB7" w:rsidP="0041535C">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0</w:t>
            </w:r>
          </w:p>
        </w:tc>
        <w:tc>
          <w:tcPr>
            <w:tcW w:w="1601" w:type="dxa"/>
          </w:tcPr>
          <w:p w14:paraId="6658E582" w14:textId="77777777" w:rsidR="00CE3FB7" w:rsidRPr="00CD7A85" w:rsidRDefault="00CE3FB7" w:rsidP="0041535C">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0</w:t>
            </w:r>
          </w:p>
        </w:tc>
        <w:tc>
          <w:tcPr>
            <w:tcW w:w="1247" w:type="dxa"/>
          </w:tcPr>
          <w:p w14:paraId="7B69A229" w14:textId="77777777" w:rsidR="00CE3FB7" w:rsidRPr="00CD7A85" w:rsidRDefault="00CE3FB7" w:rsidP="0041535C">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1</w:t>
            </w:r>
          </w:p>
        </w:tc>
        <w:tc>
          <w:tcPr>
            <w:tcW w:w="1863" w:type="dxa"/>
          </w:tcPr>
          <w:p w14:paraId="1E7EFB5A" w14:textId="77777777" w:rsidR="00CE3FB7" w:rsidRPr="00CD7A85" w:rsidRDefault="00CE3FB7" w:rsidP="0041535C">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tl/>
                <w:lang w:bidi="he-IL"/>
              </w:rPr>
            </w:pPr>
            <w:r w:rsidRPr="00CD7A85">
              <w:rPr>
                <w:rFonts w:asciiTheme="minorBidi" w:hAnsiTheme="minorBidi"/>
                <w:sz w:val="22"/>
                <w:szCs w:val="22"/>
                <w:rtl/>
                <w:lang w:bidi="he-IL"/>
              </w:rPr>
              <w:t>0</w:t>
            </w:r>
          </w:p>
        </w:tc>
      </w:tr>
    </w:tbl>
    <w:p w14:paraId="50C97DD7" w14:textId="42130C7D" w:rsidR="00CE3FB7" w:rsidRPr="00CD7A85" w:rsidRDefault="00CE3FB7" w:rsidP="0041535C">
      <w:pPr>
        <w:bidi/>
        <w:spacing w:line="360" w:lineRule="auto"/>
        <w:jc w:val="both"/>
        <w:rPr>
          <w:rFonts w:asciiTheme="minorBidi" w:hAnsiTheme="minorBidi" w:cstheme="minorBidi"/>
          <w:sz w:val="22"/>
          <w:szCs w:val="22"/>
          <w:rtl/>
          <w:lang w:bidi="he-IL"/>
        </w:rPr>
      </w:pPr>
      <w:r w:rsidRPr="00CD7A85">
        <w:rPr>
          <w:rFonts w:asciiTheme="minorBidi" w:hAnsiTheme="minorBidi" w:cstheme="minorBidi"/>
          <w:sz w:val="22"/>
          <w:szCs w:val="22"/>
          <w:rtl/>
          <w:lang w:bidi="he-IL"/>
        </w:rPr>
        <w:t>*מס' התאונות הקטלניות מצוין רק כאשר הוא שונה ממספר ההרוגים</w:t>
      </w:r>
    </w:p>
    <w:p w14:paraId="5CED7ED7" w14:textId="77777777" w:rsidR="00CE3FB7" w:rsidRPr="00CD7A85" w:rsidRDefault="00CE3FB7" w:rsidP="0041535C">
      <w:pPr>
        <w:bidi/>
        <w:spacing w:line="360" w:lineRule="auto"/>
        <w:jc w:val="both"/>
        <w:rPr>
          <w:rFonts w:asciiTheme="minorBidi" w:hAnsiTheme="minorBidi" w:cstheme="minorBidi"/>
          <w:sz w:val="22"/>
          <w:szCs w:val="22"/>
          <w:rtl/>
          <w:lang w:bidi="he-IL"/>
        </w:rPr>
      </w:pPr>
    </w:p>
    <w:p w14:paraId="1BCD7692" w14:textId="39A6C63F" w:rsidR="00303741" w:rsidRPr="00CD7A85" w:rsidRDefault="00303741" w:rsidP="0041535C">
      <w:pPr>
        <w:bidi/>
        <w:spacing w:after="120" w:line="360" w:lineRule="auto"/>
        <w:jc w:val="both"/>
        <w:rPr>
          <w:rFonts w:asciiTheme="minorBidi" w:hAnsiTheme="minorBidi" w:cstheme="minorBidi"/>
          <w:sz w:val="22"/>
          <w:szCs w:val="22"/>
          <w:rtl/>
          <w:lang w:bidi="he-IL"/>
        </w:rPr>
      </w:pPr>
      <w:r w:rsidRPr="00CD7A85">
        <w:rPr>
          <w:rFonts w:asciiTheme="minorBidi" w:hAnsiTheme="minorBidi" w:cstheme="minorBidi"/>
          <w:b/>
          <w:bCs/>
          <w:sz w:val="22"/>
          <w:szCs w:val="22"/>
          <w:rtl/>
          <w:lang w:bidi="he-IL"/>
        </w:rPr>
        <w:t xml:space="preserve">זהות קרבנות </w:t>
      </w:r>
      <w:r w:rsidR="0094323A" w:rsidRPr="00CD7A85">
        <w:rPr>
          <w:rFonts w:asciiTheme="minorBidi" w:hAnsiTheme="minorBidi" w:cstheme="minorBidi"/>
          <w:b/>
          <w:bCs/>
          <w:sz w:val="22"/>
          <w:szCs w:val="22"/>
          <w:rtl/>
          <w:lang w:bidi="he-IL"/>
        </w:rPr>
        <w:t xml:space="preserve">כלל </w:t>
      </w:r>
      <w:r w:rsidRPr="00CD7A85">
        <w:rPr>
          <w:rFonts w:asciiTheme="minorBidi" w:hAnsiTheme="minorBidi" w:cstheme="minorBidi"/>
          <w:b/>
          <w:bCs/>
          <w:sz w:val="22"/>
          <w:szCs w:val="22"/>
          <w:rtl/>
          <w:lang w:bidi="he-IL"/>
        </w:rPr>
        <w:t xml:space="preserve">תאונות העבודה – </w:t>
      </w:r>
    </w:p>
    <w:p w14:paraId="71912A62" w14:textId="77777777" w:rsidR="0094323A" w:rsidRPr="00CD7A85" w:rsidRDefault="006504FF" w:rsidP="0041535C">
      <w:pPr>
        <w:bidi/>
        <w:spacing w:after="120" w:line="360" w:lineRule="auto"/>
        <w:jc w:val="both"/>
        <w:rPr>
          <w:rFonts w:asciiTheme="minorBidi" w:hAnsiTheme="minorBidi" w:cstheme="minorBidi"/>
          <w:b/>
          <w:bCs/>
          <w:sz w:val="22"/>
          <w:szCs w:val="22"/>
          <w:rtl/>
          <w:lang w:bidi="he-IL"/>
        </w:rPr>
      </w:pPr>
      <w:r w:rsidRPr="00CD7A85">
        <w:rPr>
          <w:rFonts w:asciiTheme="minorBidi" w:hAnsiTheme="minorBidi" w:cstheme="minorBidi"/>
          <w:sz w:val="22"/>
          <w:szCs w:val="22"/>
          <w:rtl/>
          <w:lang w:bidi="he-IL"/>
        </w:rPr>
        <w:t xml:space="preserve">במחצית הראשונה של 2019, נהרגו בתאונות </w:t>
      </w:r>
      <w:r w:rsidRPr="00180EAE">
        <w:rPr>
          <w:rFonts w:asciiTheme="minorBidi" w:hAnsiTheme="minorBidi" w:cstheme="minorBidi"/>
          <w:sz w:val="22"/>
          <w:szCs w:val="22"/>
          <w:rtl/>
          <w:lang w:bidi="he-IL"/>
        </w:rPr>
        <w:t>עבודה 43</w:t>
      </w:r>
      <w:r w:rsidRPr="00CD7A85">
        <w:rPr>
          <w:rFonts w:asciiTheme="minorBidi" w:hAnsiTheme="minorBidi" w:cstheme="minorBidi"/>
          <w:sz w:val="22"/>
          <w:szCs w:val="22"/>
          <w:rtl/>
          <w:lang w:bidi="he-IL"/>
        </w:rPr>
        <w:t xml:space="preserve"> עובדים, לפי החלוקה הבאה: 14 עובדים </w:t>
      </w:r>
      <w:r w:rsidR="0094323A" w:rsidRPr="00CD7A85">
        <w:rPr>
          <w:rFonts w:asciiTheme="minorBidi" w:hAnsiTheme="minorBidi" w:cstheme="minorBidi"/>
          <w:sz w:val="22"/>
          <w:szCs w:val="22"/>
          <w:rtl/>
          <w:lang w:bidi="he-IL"/>
        </w:rPr>
        <w:t xml:space="preserve">אזרחים </w:t>
      </w:r>
      <w:r w:rsidRPr="00CD7A85">
        <w:rPr>
          <w:rFonts w:asciiTheme="minorBidi" w:hAnsiTheme="minorBidi" w:cstheme="minorBidi"/>
          <w:sz w:val="22"/>
          <w:szCs w:val="22"/>
          <w:rtl/>
          <w:lang w:bidi="he-IL"/>
        </w:rPr>
        <w:t>יהודים</w:t>
      </w:r>
      <w:r w:rsidR="00303741" w:rsidRPr="00CD7A85">
        <w:rPr>
          <w:rFonts w:asciiTheme="minorBidi" w:hAnsiTheme="minorBidi" w:cstheme="minorBidi"/>
          <w:sz w:val="22"/>
          <w:szCs w:val="22"/>
          <w:rtl/>
          <w:lang w:bidi="he-IL"/>
        </w:rPr>
        <w:t xml:space="preserve"> </w:t>
      </w:r>
      <w:r w:rsidR="00B553B7" w:rsidRPr="00CD7A85">
        <w:rPr>
          <w:rFonts w:asciiTheme="minorBidi" w:hAnsiTheme="minorBidi" w:cstheme="minorBidi"/>
          <w:sz w:val="22"/>
          <w:szCs w:val="22"/>
          <w:rtl/>
          <w:lang w:bidi="he-IL"/>
        </w:rPr>
        <w:t xml:space="preserve">(32% מההרוגים), 10 עובדים </w:t>
      </w:r>
      <w:r w:rsidR="0094323A" w:rsidRPr="00CD7A85">
        <w:rPr>
          <w:rFonts w:asciiTheme="minorBidi" w:hAnsiTheme="minorBidi" w:cstheme="minorBidi"/>
          <w:sz w:val="22"/>
          <w:szCs w:val="22"/>
          <w:rtl/>
          <w:lang w:bidi="he-IL"/>
        </w:rPr>
        <w:t xml:space="preserve">אזרחים </w:t>
      </w:r>
      <w:r w:rsidR="00B553B7" w:rsidRPr="00CD7A85">
        <w:rPr>
          <w:rFonts w:asciiTheme="minorBidi" w:hAnsiTheme="minorBidi" w:cstheme="minorBidi"/>
          <w:sz w:val="22"/>
          <w:szCs w:val="22"/>
          <w:rtl/>
          <w:lang w:bidi="he-IL"/>
        </w:rPr>
        <w:t>ערבים</w:t>
      </w:r>
      <w:r w:rsidRPr="00CD7A85">
        <w:rPr>
          <w:rFonts w:asciiTheme="minorBidi" w:hAnsiTheme="minorBidi" w:cstheme="minorBidi"/>
          <w:sz w:val="22"/>
          <w:szCs w:val="22"/>
          <w:rtl/>
          <w:lang w:bidi="he-IL"/>
        </w:rPr>
        <w:t xml:space="preserve"> (23%), 8 עובדים פלסטינים (19%), 8 עובדים זרים (19%), ו-3 עובדים שזהותם לא התפרסמה (7%). </w:t>
      </w:r>
    </w:p>
    <w:p w14:paraId="71419E2F" w14:textId="77777777" w:rsidR="007B3521" w:rsidRDefault="007B3521" w:rsidP="0041535C">
      <w:pPr>
        <w:bidi/>
        <w:spacing w:after="120" w:line="360" w:lineRule="auto"/>
        <w:jc w:val="both"/>
        <w:rPr>
          <w:rFonts w:asciiTheme="minorBidi" w:hAnsiTheme="minorBidi" w:cstheme="minorBidi"/>
          <w:b/>
          <w:bCs/>
          <w:sz w:val="22"/>
          <w:szCs w:val="22"/>
          <w:rtl/>
          <w:lang w:bidi="he-IL"/>
        </w:rPr>
      </w:pPr>
    </w:p>
    <w:p w14:paraId="2943D887" w14:textId="77777777" w:rsidR="007B3521" w:rsidRDefault="007B3521" w:rsidP="007B3521">
      <w:pPr>
        <w:bidi/>
        <w:spacing w:after="120" w:line="360" w:lineRule="auto"/>
        <w:jc w:val="both"/>
        <w:rPr>
          <w:rFonts w:asciiTheme="minorBidi" w:hAnsiTheme="minorBidi" w:cstheme="minorBidi"/>
          <w:b/>
          <w:bCs/>
          <w:sz w:val="22"/>
          <w:szCs w:val="22"/>
          <w:rtl/>
          <w:lang w:bidi="he-IL"/>
        </w:rPr>
      </w:pPr>
    </w:p>
    <w:p w14:paraId="79261006" w14:textId="77777777" w:rsidR="007B3521" w:rsidRDefault="0094323A" w:rsidP="007B3521">
      <w:pPr>
        <w:bidi/>
        <w:spacing w:after="120"/>
        <w:jc w:val="both"/>
        <w:rPr>
          <w:rFonts w:asciiTheme="minorBidi" w:hAnsiTheme="minorBidi" w:cstheme="minorBidi"/>
          <w:b/>
          <w:bCs/>
          <w:sz w:val="22"/>
          <w:szCs w:val="22"/>
          <w:rtl/>
          <w:lang w:bidi="he-IL"/>
        </w:rPr>
      </w:pPr>
      <w:r w:rsidRPr="00CD7A85">
        <w:rPr>
          <w:rFonts w:asciiTheme="minorBidi" w:hAnsiTheme="minorBidi" w:cstheme="minorBidi"/>
          <w:b/>
          <w:bCs/>
          <w:sz w:val="22"/>
          <w:szCs w:val="22"/>
          <w:rtl/>
          <w:lang w:bidi="he-IL"/>
        </w:rPr>
        <w:lastRenderedPageBreak/>
        <w:t xml:space="preserve">זהות קרבנות תאונות העבודה בענף הבניין בפרט – </w:t>
      </w:r>
    </w:p>
    <w:p w14:paraId="1E27E0DD" w14:textId="00A5F148" w:rsidR="006504FF" w:rsidRPr="00CD7A85" w:rsidRDefault="008B2595" w:rsidP="007B3521">
      <w:pPr>
        <w:bidi/>
        <w:spacing w:after="120" w:line="360" w:lineRule="auto"/>
        <w:jc w:val="both"/>
        <w:rPr>
          <w:rFonts w:asciiTheme="minorBidi" w:hAnsiTheme="minorBidi" w:cstheme="minorBidi"/>
          <w:b/>
          <w:bCs/>
          <w:sz w:val="22"/>
          <w:szCs w:val="22"/>
          <w:rtl/>
          <w:lang w:bidi="he-IL"/>
        </w:rPr>
      </w:pPr>
      <w:r w:rsidRPr="00CD7A85">
        <w:rPr>
          <w:rFonts w:asciiTheme="minorBidi" w:hAnsiTheme="minorBidi" w:cstheme="minorBidi"/>
          <w:b/>
          <w:bCs/>
          <w:sz w:val="22"/>
          <w:szCs w:val="22"/>
          <w:rtl/>
          <w:lang w:bidi="he-IL"/>
        </w:rPr>
        <w:t xml:space="preserve">העובדים הזרים מהווים כ-10% מכלל עובדי הבניין, אך 21% מההרוגים. </w:t>
      </w:r>
    </w:p>
    <w:p w14:paraId="16C78BE1" w14:textId="7222FF09" w:rsidR="0094323A" w:rsidRPr="00CD7A85" w:rsidRDefault="008B2595" w:rsidP="00A200A7">
      <w:pPr>
        <w:bidi/>
        <w:spacing w:after="120" w:line="360" w:lineRule="auto"/>
        <w:jc w:val="center"/>
        <w:rPr>
          <w:rFonts w:asciiTheme="minorBidi" w:hAnsiTheme="minorBidi" w:cstheme="minorBidi"/>
          <w:b/>
          <w:bCs/>
          <w:sz w:val="22"/>
          <w:szCs w:val="22"/>
          <w:rtl/>
          <w:lang w:bidi="he-IL"/>
        </w:rPr>
      </w:pPr>
      <w:r w:rsidRPr="00CD7A85">
        <w:rPr>
          <w:rFonts w:asciiTheme="minorBidi" w:hAnsiTheme="minorBidi" w:cstheme="minorBidi"/>
          <w:noProof/>
          <w:sz w:val="22"/>
          <w:szCs w:val="22"/>
          <w:rtl/>
          <w:lang w:bidi="he-IL"/>
        </w:rPr>
        <w:drawing>
          <wp:inline distT="0" distB="0" distL="0" distR="0" wp14:anchorId="439EE3AC" wp14:editId="26D9F412">
            <wp:extent cx="4555186" cy="2241329"/>
            <wp:effectExtent l="0" t="0" r="17145" b="6985"/>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6112D0" w14:textId="5F8270AF" w:rsidR="00092FA3" w:rsidRPr="00CD7A85" w:rsidRDefault="00092FA3" w:rsidP="007B3521">
      <w:pPr>
        <w:bidi/>
        <w:spacing w:line="360" w:lineRule="auto"/>
        <w:jc w:val="both"/>
        <w:rPr>
          <w:rFonts w:asciiTheme="minorBidi" w:hAnsiTheme="minorBidi" w:cstheme="minorBidi"/>
          <w:b/>
          <w:bCs/>
          <w:sz w:val="22"/>
          <w:szCs w:val="22"/>
          <w:rtl/>
          <w:lang w:bidi="he-IL"/>
        </w:rPr>
      </w:pPr>
      <w:r w:rsidRPr="00CD7A85">
        <w:rPr>
          <w:rFonts w:asciiTheme="minorBidi" w:hAnsiTheme="minorBidi" w:cstheme="minorBidi"/>
          <w:b/>
          <w:bCs/>
          <w:sz w:val="22"/>
          <w:szCs w:val="22"/>
          <w:rtl/>
          <w:lang w:bidi="he-IL"/>
        </w:rPr>
        <w:t xml:space="preserve">הסיבות המרכזיות לתאונות העבודה במשק הישראלי – נפילה מגובה, פגיעה על ידי נפילת חפץ </w:t>
      </w:r>
      <w:r w:rsidR="007B3521">
        <w:rPr>
          <w:rFonts w:asciiTheme="minorBidi" w:hAnsiTheme="minorBidi" w:cstheme="minorBidi" w:hint="cs"/>
          <w:b/>
          <w:bCs/>
          <w:sz w:val="22"/>
          <w:szCs w:val="22"/>
          <w:rtl/>
          <w:lang w:bidi="he-IL"/>
        </w:rPr>
        <w:t xml:space="preserve">כבד </w:t>
      </w:r>
      <w:r w:rsidRPr="00CD7A85">
        <w:rPr>
          <w:rFonts w:asciiTheme="minorBidi" w:hAnsiTheme="minorBidi" w:cstheme="minorBidi"/>
          <w:b/>
          <w:bCs/>
          <w:sz w:val="22"/>
          <w:szCs w:val="22"/>
          <w:rtl/>
          <w:lang w:bidi="he-IL"/>
        </w:rPr>
        <w:t xml:space="preserve">ודריסה. </w:t>
      </w:r>
    </w:p>
    <w:p w14:paraId="2CC9EE9C" w14:textId="77777777" w:rsidR="00092FA3" w:rsidRPr="00CD7A85" w:rsidRDefault="00092FA3" w:rsidP="007B3521">
      <w:pPr>
        <w:bidi/>
        <w:spacing w:after="120" w:line="360" w:lineRule="auto"/>
        <w:jc w:val="both"/>
        <w:rPr>
          <w:rFonts w:asciiTheme="minorBidi" w:hAnsiTheme="minorBidi" w:cstheme="minorBidi"/>
          <w:b/>
          <w:bCs/>
          <w:sz w:val="22"/>
          <w:szCs w:val="22"/>
          <w:rtl/>
          <w:lang w:bidi="he-IL"/>
        </w:rPr>
      </w:pPr>
      <w:r w:rsidRPr="00CD7A85">
        <w:rPr>
          <w:rFonts w:asciiTheme="minorBidi" w:hAnsiTheme="minorBidi" w:cstheme="minorBidi"/>
          <w:sz w:val="22"/>
          <w:szCs w:val="22"/>
          <w:rtl/>
          <w:lang w:bidi="he-IL"/>
        </w:rPr>
        <w:t>נפילה מגובה מהווה הגורם מספר אחת לתאונות עבודה קטלניות במשק הישראלי ואחראית ל-40% מהן</w:t>
      </w:r>
      <w:r w:rsidRPr="00CD7A85">
        <w:rPr>
          <w:rFonts w:asciiTheme="minorBidi" w:hAnsiTheme="minorBidi" w:cstheme="minorBidi"/>
          <w:b/>
          <w:bCs/>
          <w:sz w:val="22"/>
          <w:szCs w:val="22"/>
          <w:rtl/>
          <w:lang w:bidi="he-IL"/>
        </w:rPr>
        <w:t xml:space="preserve">. </w:t>
      </w:r>
      <w:r w:rsidRPr="00CD7A85">
        <w:rPr>
          <w:rFonts w:asciiTheme="minorBidi" w:hAnsiTheme="minorBidi" w:cstheme="minorBidi"/>
          <w:sz w:val="22"/>
          <w:szCs w:val="22"/>
          <w:rtl/>
          <w:lang w:bidi="he-IL"/>
        </w:rPr>
        <w:t xml:space="preserve">גורם זה הינו </w:t>
      </w:r>
      <w:r w:rsidR="00916D6C" w:rsidRPr="00CD7A85">
        <w:rPr>
          <w:rFonts w:asciiTheme="minorBidi" w:hAnsiTheme="minorBidi" w:cstheme="minorBidi"/>
          <w:sz w:val="22"/>
          <w:szCs w:val="22"/>
          <w:rtl/>
          <w:lang w:bidi="he-IL"/>
        </w:rPr>
        <w:t xml:space="preserve">המוביל בתאונות </w:t>
      </w:r>
      <w:r w:rsidR="008B2595" w:rsidRPr="00CD7A85">
        <w:rPr>
          <w:rFonts w:asciiTheme="minorBidi" w:hAnsiTheme="minorBidi" w:cstheme="minorBidi"/>
          <w:sz w:val="22"/>
          <w:szCs w:val="22"/>
          <w:rtl/>
          <w:lang w:bidi="he-IL"/>
        </w:rPr>
        <w:t xml:space="preserve">עבודה </w:t>
      </w:r>
      <w:r w:rsidR="00916D6C" w:rsidRPr="00CD7A85">
        <w:rPr>
          <w:rFonts w:asciiTheme="minorBidi" w:hAnsiTheme="minorBidi" w:cstheme="minorBidi"/>
          <w:sz w:val="22"/>
          <w:szCs w:val="22"/>
          <w:rtl/>
          <w:lang w:bidi="he-IL"/>
        </w:rPr>
        <w:t>קטלניות בשני הענפים: בניה (50% מהתאונות) ושירותים ומסחר (55% מהתאונות).</w:t>
      </w:r>
    </w:p>
    <w:p w14:paraId="6A98CB74" w14:textId="44099CAC" w:rsidR="003413D1" w:rsidRPr="00CD7A85" w:rsidRDefault="0041535C" w:rsidP="007B3521">
      <w:pPr>
        <w:bidi/>
        <w:spacing w:after="120" w:line="360" w:lineRule="auto"/>
        <w:jc w:val="both"/>
        <w:rPr>
          <w:rFonts w:asciiTheme="minorBidi" w:hAnsiTheme="minorBidi" w:cstheme="minorBidi"/>
          <w:b/>
          <w:bCs/>
          <w:sz w:val="22"/>
          <w:szCs w:val="22"/>
          <w:rtl/>
          <w:lang w:bidi="he-IL"/>
        </w:rPr>
      </w:pPr>
      <w:r w:rsidRPr="00CD7A85">
        <w:rPr>
          <w:rFonts w:asciiTheme="minorBidi" w:hAnsiTheme="minorBidi" w:cstheme="minorBidi"/>
          <w:sz w:val="22"/>
          <w:szCs w:val="22"/>
          <w:rtl/>
          <w:lang w:bidi="he-IL"/>
        </w:rPr>
        <w:t>2</w:t>
      </w:r>
      <w:r w:rsidR="00092FA3" w:rsidRPr="00CD7A85">
        <w:rPr>
          <w:rFonts w:asciiTheme="minorBidi" w:hAnsiTheme="minorBidi" w:cstheme="minorBidi"/>
          <w:sz w:val="22"/>
          <w:szCs w:val="22"/>
          <w:rtl/>
          <w:lang w:bidi="he-IL"/>
        </w:rPr>
        <w:t>6% מתאונות העבודה הקטלניות</w:t>
      </w:r>
      <w:r w:rsidR="007B3521">
        <w:rPr>
          <w:rFonts w:asciiTheme="minorBidi" w:hAnsiTheme="minorBidi" w:cstheme="minorBidi" w:hint="cs"/>
          <w:sz w:val="22"/>
          <w:szCs w:val="22"/>
          <w:rtl/>
          <w:lang w:bidi="he-IL"/>
        </w:rPr>
        <w:t xml:space="preserve"> במשק</w:t>
      </w:r>
      <w:r w:rsidR="00092FA3" w:rsidRPr="00CD7A85">
        <w:rPr>
          <w:rFonts w:asciiTheme="minorBidi" w:hAnsiTheme="minorBidi" w:cstheme="minorBidi"/>
          <w:sz w:val="22"/>
          <w:szCs w:val="22"/>
          <w:rtl/>
          <w:lang w:bidi="he-IL"/>
        </w:rPr>
        <w:t xml:space="preserve"> נגרמות עקב פגיעה מנפילת חפצים כבדים</w:t>
      </w:r>
      <w:r w:rsidR="00092FA3" w:rsidRPr="00CD7A85">
        <w:rPr>
          <w:rFonts w:asciiTheme="minorBidi" w:hAnsiTheme="minorBidi" w:cstheme="minorBidi"/>
          <w:b/>
          <w:bCs/>
          <w:sz w:val="22"/>
          <w:szCs w:val="22"/>
          <w:rtl/>
          <w:lang w:bidi="he-IL"/>
        </w:rPr>
        <w:t>.</w:t>
      </w:r>
    </w:p>
    <w:p w14:paraId="02C2162F" w14:textId="5408FCCC" w:rsidR="003413D1" w:rsidRPr="007B3521" w:rsidRDefault="00092FA3" w:rsidP="007B3521">
      <w:pPr>
        <w:bidi/>
        <w:spacing w:after="120" w:line="360" w:lineRule="auto"/>
        <w:jc w:val="both"/>
        <w:rPr>
          <w:rFonts w:asciiTheme="minorBidi" w:hAnsiTheme="minorBidi" w:cstheme="minorBidi"/>
          <w:sz w:val="22"/>
          <w:szCs w:val="22"/>
          <w:rtl/>
          <w:lang w:bidi="he-IL"/>
        </w:rPr>
      </w:pPr>
      <w:r w:rsidRPr="00CD7A85">
        <w:rPr>
          <w:rFonts w:asciiTheme="minorBidi" w:hAnsiTheme="minorBidi" w:cstheme="minorBidi"/>
          <w:sz w:val="22"/>
          <w:szCs w:val="22"/>
          <w:rtl/>
          <w:lang w:bidi="he-IL"/>
        </w:rPr>
        <w:t xml:space="preserve">18% מהתאונות הקטלניות במשק בשל פגיעה מכלי רכב. התאונות מתרחשות בעיקר בשל דריסה על ידי </w:t>
      </w:r>
      <w:r w:rsidR="003413D1" w:rsidRPr="00CD7A85">
        <w:rPr>
          <w:rFonts w:asciiTheme="minorBidi" w:hAnsiTheme="minorBidi" w:cstheme="minorBidi"/>
          <w:sz w:val="22"/>
          <w:szCs w:val="22"/>
          <w:rtl/>
          <w:lang w:bidi="he-IL"/>
        </w:rPr>
        <w:t>משאיות ומלגזות בתוך מקומות העבודה</w:t>
      </w:r>
      <w:r w:rsidR="003413D1" w:rsidRPr="007B3521">
        <w:rPr>
          <w:rFonts w:asciiTheme="minorBidi" w:hAnsiTheme="minorBidi" w:cstheme="minorBidi"/>
          <w:sz w:val="22"/>
          <w:szCs w:val="22"/>
          <w:rtl/>
          <w:lang w:bidi="he-IL"/>
        </w:rPr>
        <w:t>. גורם זה אחראי לעיקר התאונות הקטלניות בשני הענפים: תעשיה (3מתוך 6 תאונות קטלניות) וחקלאות (2 מתוך 3 קטלניות)</w:t>
      </w:r>
      <w:r w:rsidR="00F73D6C" w:rsidRPr="007B3521">
        <w:rPr>
          <w:rFonts w:asciiTheme="minorBidi" w:hAnsiTheme="minorBidi" w:cstheme="minorBidi"/>
          <w:sz w:val="22"/>
          <w:szCs w:val="22"/>
          <w:rtl/>
          <w:lang w:bidi="he-IL"/>
        </w:rPr>
        <w:t>.</w:t>
      </w:r>
    </w:p>
    <w:p w14:paraId="6AD9B1E8" w14:textId="77777777" w:rsidR="004B5977" w:rsidRPr="00CD7A85" w:rsidRDefault="004B5977" w:rsidP="006422AC">
      <w:pPr>
        <w:bidi/>
        <w:spacing w:after="120" w:line="360" w:lineRule="auto"/>
        <w:jc w:val="center"/>
        <w:rPr>
          <w:rFonts w:asciiTheme="minorBidi" w:hAnsiTheme="minorBidi" w:cstheme="minorBidi"/>
          <w:b/>
          <w:bCs/>
          <w:sz w:val="22"/>
          <w:szCs w:val="22"/>
          <w:rtl/>
          <w:lang w:bidi="he-IL"/>
        </w:rPr>
      </w:pPr>
      <w:r w:rsidRPr="007B3521">
        <w:rPr>
          <w:rFonts w:asciiTheme="minorBidi" w:hAnsiTheme="minorBidi" w:cstheme="minorBidi"/>
          <w:b/>
          <w:bCs/>
          <w:noProof/>
          <w:sz w:val="22"/>
          <w:szCs w:val="22"/>
          <w:rtl/>
          <w:lang w:bidi="he-IL"/>
        </w:rPr>
        <w:drawing>
          <wp:inline distT="0" distB="0" distL="0" distR="0" wp14:anchorId="4A956A55" wp14:editId="122ABDD2">
            <wp:extent cx="5502302" cy="2663135"/>
            <wp:effectExtent l="0" t="0" r="3175"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10D341" w14:textId="77777777" w:rsidR="00A200A7" w:rsidRPr="00F73D6C" w:rsidRDefault="00A200A7" w:rsidP="00A200A7">
      <w:pPr>
        <w:bidi/>
        <w:spacing w:after="120" w:line="360" w:lineRule="auto"/>
        <w:jc w:val="both"/>
        <w:rPr>
          <w:rFonts w:ascii="Arial" w:hAnsi="Arial" w:cs="Arial"/>
          <w:sz w:val="22"/>
          <w:szCs w:val="22"/>
          <w:u w:val="single"/>
          <w:rtl/>
          <w:lang w:bidi="he-IL"/>
        </w:rPr>
      </w:pPr>
      <w:r w:rsidRPr="00F73D6C">
        <w:rPr>
          <w:rFonts w:ascii="Arial" w:hAnsi="Arial" w:cs="Arial" w:hint="cs"/>
          <w:sz w:val="22"/>
          <w:szCs w:val="22"/>
          <w:u w:val="single"/>
          <w:rtl/>
          <w:lang w:bidi="he-IL"/>
        </w:rPr>
        <w:lastRenderedPageBreak/>
        <w:t>בטבלה להלן פירוט גורמי היפגעות בתאונות קטלניות לפי ענף:</w:t>
      </w:r>
    </w:p>
    <w:tbl>
      <w:tblPr>
        <w:tblStyle w:val="GridTable4-Accent11"/>
        <w:bidiVisual/>
        <w:tblW w:w="10098" w:type="dxa"/>
        <w:tblLook w:val="04A0" w:firstRow="1" w:lastRow="0" w:firstColumn="1" w:lastColumn="0" w:noHBand="0" w:noVBand="1"/>
      </w:tblPr>
      <w:tblGrid>
        <w:gridCol w:w="1368"/>
        <w:gridCol w:w="1800"/>
        <w:gridCol w:w="1620"/>
        <w:gridCol w:w="1710"/>
        <w:gridCol w:w="1620"/>
        <w:gridCol w:w="1980"/>
      </w:tblGrid>
      <w:tr w:rsidR="00A200A7" w:rsidRPr="004B5977" w14:paraId="50732AA7" w14:textId="77777777" w:rsidTr="00A54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59852D98" w14:textId="77777777" w:rsidR="00A200A7" w:rsidRPr="004B5977" w:rsidRDefault="00A200A7" w:rsidP="00A544D2">
            <w:pPr>
              <w:bidi/>
              <w:spacing w:after="120" w:line="360" w:lineRule="auto"/>
              <w:jc w:val="both"/>
              <w:rPr>
                <w:rFonts w:asciiTheme="minorBidi" w:hAnsiTheme="minorBidi" w:cstheme="minorBidi"/>
                <w:sz w:val="16"/>
                <w:szCs w:val="16"/>
                <w:rtl/>
                <w:lang w:bidi="he-IL"/>
              </w:rPr>
            </w:pPr>
            <w:r w:rsidRPr="004B5977">
              <w:rPr>
                <w:rFonts w:asciiTheme="minorBidi" w:hAnsiTheme="minorBidi" w:cstheme="minorBidi"/>
                <w:sz w:val="16"/>
                <w:szCs w:val="16"/>
                <w:rtl/>
                <w:lang w:bidi="he-IL"/>
              </w:rPr>
              <w:t>גורם היפגעות</w:t>
            </w:r>
          </w:p>
        </w:tc>
        <w:tc>
          <w:tcPr>
            <w:tcW w:w="1800" w:type="dxa"/>
          </w:tcPr>
          <w:p w14:paraId="6532F6E9" w14:textId="77777777" w:rsidR="00A200A7" w:rsidRPr="004B5977" w:rsidRDefault="00A200A7" w:rsidP="00A544D2">
            <w:pPr>
              <w:bidi/>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 xml:space="preserve">ענף הבניה </w:t>
            </w:r>
          </w:p>
          <w:p w14:paraId="6F37288D" w14:textId="77777777" w:rsidR="00A200A7" w:rsidRPr="004B5977" w:rsidRDefault="00A200A7" w:rsidP="00A544D2">
            <w:pPr>
              <w:bidi/>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16"/>
                <w:szCs w:val="16"/>
                <w:rtl/>
                <w:lang w:bidi="he-IL"/>
              </w:rPr>
            </w:pPr>
            <w:r w:rsidRPr="004B5977">
              <w:rPr>
                <w:rFonts w:asciiTheme="minorBidi" w:hAnsiTheme="minorBidi" w:cstheme="minorBidi"/>
                <w:b w:val="0"/>
                <w:bCs w:val="0"/>
                <w:sz w:val="16"/>
                <w:szCs w:val="16"/>
                <w:rtl/>
                <w:lang w:bidi="he-IL"/>
              </w:rPr>
              <w:t>20 תאונות /24 הרוגים</w:t>
            </w:r>
          </w:p>
        </w:tc>
        <w:tc>
          <w:tcPr>
            <w:tcW w:w="1620" w:type="dxa"/>
          </w:tcPr>
          <w:p w14:paraId="321B963F" w14:textId="77777777" w:rsidR="00A200A7" w:rsidRPr="004B5977" w:rsidRDefault="00A200A7" w:rsidP="00A544D2">
            <w:pPr>
              <w:bidi/>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ענף התעשיה</w:t>
            </w:r>
          </w:p>
          <w:p w14:paraId="675FAD73" w14:textId="77777777" w:rsidR="00A200A7" w:rsidRPr="004B5977" w:rsidRDefault="00A200A7" w:rsidP="00A544D2">
            <w:pPr>
              <w:bidi/>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16"/>
                <w:szCs w:val="16"/>
                <w:rtl/>
                <w:lang w:bidi="he-IL"/>
              </w:rPr>
            </w:pPr>
            <w:r w:rsidRPr="004B5977">
              <w:rPr>
                <w:rFonts w:asciiTheme="minorBidi" w:hAnsiTheme="minorBidi" w:cstheme="minorBidi"/>
                <w:b w:val="0"/>
                <w:bCs w:val="0"/>
                <w:sz w:val="16"/>
                <w:szCs w:val="16"/>
                <w:rtl/>
                <w:lang w:bidi="he-IL"/>
              </w:rPr>
              <w:t>6 תאונות/ 6 הרוגים</w:t>
            </w:r>
          </w:p>
        </w:tc>
        <w:tc>
          <w:tcPr>
            <w:tcW w:w="1710" w:type="dxa"/>
          </w:tcPr>
          <w:p w14:paraId="5C8E0851" w14:textId="77777777" w:rsidR="00A200A7" w:rsidRPr="004B5977" w:rsidRDefault="00A200A7" w:rsidP="00A544D2">
            <w:pPr>
              <w:bidi/>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מסחר ושירותים</w:t>
            </w:r>
          </w:p>
          <w:p w14:paraId="4FE1E8B6" w14:textId="77777777" w:rsidR="00A200A7" w:rsidRPr="004B5977" w:rsidRDefault="00A200A7" w:rsidP="00A544D2">
            <w:pPr>
              <w:bidi/>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16"/>
                <w:szCs w:val="16"/>
                <w:rtl/>
                <w:lang w:bidi="he-IL"/>
              </w:rPr>
            </w:pPr>
            <w:r w:rsidRPr="004B5977">
              <w:rPr>
                <w:rFonts w:asciiTheme="minorBidi" w:hAnsiTheme="minorBidi" w:cstheme="minorBidi"/>
                <w:b w:val="0"/>
                <w:bCs w:val="0"/>
                <w:sz w:val="16"/>
                <w:szCs w:val="16"/>
                <w:rtl/>
                <w:lang w:bidi="he-IL"/>
              </w:rPr>
              <w:t>9 תאונות /10 הרוגים</w:t>
            </w:r>
          </w:p>
        </w:tc>
        <w:tc>
          <w:tcPr>
            <w:tcW w:w="1620" w:type="dxa"/>
          </w:tcPr>
          <w:p w14:paraId="28A96D6D" w14:textId="77777777" w:rsidR="00A200A7" w:rsidRPr="004B5977" w:rsidRDefault="00A200A7" w:rsidP="00A544D2">
            <w:pPr>
              <w:bidi/>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חקלאות</w:t>
            </w:r>
          </w:p>
          <w:p w14:paraId="06D7CA3D" w14:textId="77777777" w:rsidR="00A200A7" w:rsidRPr="004B5977" w:rsidRDefault="00A200A7" w:rsidP="00A544D2">
            <w:pPr>
              <w:bidi/>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16"/>
                <w:szCs w:val="16"/>
                <w:rtl/>
                <w:lang w:bidi="he-IL"/>
              </w:rPr>
            </w:pPr>
            <w:r w:rsidRPr="004B5977">
              <w:rPr>
                <w:rFonts w:asciiTheme="minorBidi" w:hAnsiTheme="minorBidi" w:cstheme="minorBidi"/>
                <w:b w:val="0"/>
                <w:bCs w:val="0"/>
                <w:sz w:val="16"/>
                <w:szCs w:val="16"/>
                <w:rtl/>
                <w:lang w:bidi="he-IL"/>
              </w:rPr>
              <w:t>3 תאונות /3 הרוגים</w:t>
            </w:r>
          </w:p>
        </w:tc>
        <w:tc>
          <w:tcPr>
            <w:tcW w:w="1980" w:type="dxa"/>
          </w:tcPr>
          <w:p w14:paraId="1F763F42" w14:textId="77777777" w:rsidR="00A200A7" w:rsidRPr="004B5977" w:rsidRDefault="00A200A7" w:rsidP="00A544D2">
            <w:pPr>
              <w:bidi/>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סה"כ</w:t>
            </w:r>
          </w:p>
          <w:p w14:paraId="16658A31" w14:textId="77777777" w:rsidR="00A200A7" w:rsidRPr="004B5977" w:rsidRDefault="00A200A7" w:rsidP="00A544D2">
            <w:pPr>
              <w:bidi/>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16"/>
                <w:szCs w:val="16"/>
                <w:rtl/>
                <w:lang w:bidi="he-IL"/>
              </w:rPr>
            </w:pPr>
            <w:r w:rsidRPr="004B5977">
              <w:rPr>
                <w:rFonts w:asciiTheme="minorBidi" w:hAnsiTheme="minorBidi" w:cstheme="minorBidi"/>
                <w:b w:val="0"/>
                <w:bCs w:val="0"/>
                <w:sz w:val="16"/>
                <w:szCs w:val="16"/>
                <w:rtl/>
                <w:lang w:bidi="he-IL"/>
              </w:rPr>
              <w:t>38 תאונות / 42 הרוגים</w:t>
            </w:r>
          </w:p>
        </w:tc>
      </w:tr>
      <w:tr w:rsidR="00A200A7" w:rsidRPr="004B5977" w14:paraId="4AF8D7A9" w14:textId="77777777" w:rsidTr="00A54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6D3832FD" w14:textId="77777777" w:rsidR="00A200A7" w:rsidRPr="004B5977" w:rsidRDefault="00A200A7" w:rsidP="00A544D2">
            <w:pPr>
              <w:bidi/>
              <w:spacing w:after="120" w:line="360" w:lineRule="auto"/>
              <w:jc w:val="both"/>
              <w:rPr>
                <w:rFonts w:asciiTheme="minorBidi" w:hAnsiTheme="minorBidi" w:cstheme="minorBidi"/>
                <w:sz w:val="16"/>
                <w:szCs w:val="16"/>
                <w:rtl/>
                <w:lang w:bidi="he-IL"/>
              </w:rPr>
            </w:pPr>
            <w:r w:rsidRPr="004B5977">
              <w:rPr>
                <w:rFonts w:asciiTheme="minorBidi" w:hAnsiTheme="minorBidi" w:cstheme="minorBidi"/>
                <w:sz w:val="16"/>
                <w:szCs w:val="16"/>
                <w:rtl/>
                <w:lang w:bidi="he-IL"/>
              </w:rPr>
              <w:t>נפילה מגובה</w:t>
            </w:r>
          </w:p>
        </w:tc>
        <w:tc>
          <w:tcPr>
            <w:tcW w:w="1800" w:type="dxa"/>
          </w:tcPr>
          <w:p w14:paraId="20090A73" w14:textId="77777777" w:rsidR="00A200A7" w:rsidRPr="004B5977" w:rsidRDefault="00A200A7" w:rsidP="00A544D2">
            <w:pPr>
              <w:bidi/>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10 תאונות/הרוגים</w:t>
            </w:r>
          </w:p>
        </w:tc>
        <w:tc>
          <w:tcPr>
            <w:tcW w:w="1620" w:type="dxa"/>
          </w:tcPr>
          <w:p w14:paraId="15E29F0B" w14:textId="77777777" w:rsidR="00A200A7" w:rsidRPr="004B5977" w:rsidRDefault="00A200A7" w:rsidP="00A544D2">
            <w:pPr>
              <w:bidi/>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tl/>
                <w:lang w:bidi="he-IL"/>
              </w:rPr>
            </w:pPr>
          </w:p>
        </w:tc>
        <w:tc>
          <w:tcPr>
            <w:tcW w:w="1710" w:type="dxa"/>
          </w:tcPr>
          <w:p w14:paraId="31FC247E" w14:textId="77777777" w:rsidR="00A200A7" w:rsidRPr="004B5977" w:rsidRDefault="00A200A7" w:rsidP="00A544D2">
            <w:pPr>
              <w:bidi/>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5 תאונות/הרוגים</w:t>
            </w:r>
          </w:p>
        </w:tc>
        <w:tc>
          <w:tcPr>
            <w:tcW w:w="1620" w:type="dxa"/>
          </w:tcPr>
          <w:p w14:paraId="3110B1CB" w14:textId="77777777" w:rsidR="00A200A7" w:rsidRPr="004B5977" w:rsidRDefault="00A200A7" w:rsidP="00A544D2">
            <w:pPr>
              <w:bidi/>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tl/>
                <w:lang w:bidi="he-IL"/>
              </w:rPr>
            </w:pPr>
          </w:p>
        </w:tc>
        <w:tc>
          <w:tcPr>
            <w:tcW w:w="1980" w:type="dxa"/>
          </w:tcPr>
          <w:p w14:paraId="68817F2D" w14:textId="77777777" w:rsidR="00A200A7" w:rsidRPr="004B5977" w:rsidRDefault="00A200A7" w:rsidP="00A544D2">
            <w:pPr>
              <w:bidi/>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15 תאונות/הרוגים</w:t>
            </w:r>
          </w:p>
        </w:tc>
      </w:tr>
      <w:tr w:rsidR="00A200A7" w:rsidRPr="004B5977" w14:paraId="7560071F" w14:textId="77777777" w:rsidTr="00A544D2">
        <w:tc>
          <w:tcPr>
            <w:cnfStyle w:val="001000000000" w:firstRow="0" w:lastRow="0" w:firstColumn="1" w:lastColumn="0" w:oddVBand="0" w:evenVBand="0" w:oddHBand="0" w:evenHBand="0" w:firstRowFirstColumn="0" w:firstRowLastColumn="0" w:lastRowFirstColumn="0" w:lastRowLastColumn="0"/>
            <w:tcW w:w="1368" w:type="dxa"/>
          </w:tcPr>
          <w:p w14:paraId="477640F7" w14:textId="77777777" w:rsidR="00A200A7" w:rsidRPr="004B5977" w:rsidRDefault="00A200A7" w:rsidP="00A544D2">
            <w:pPr>
              <w:bidi/>
              <w:spacing w:after="120" w:line="360" w:lineRule="auto"/>
              <w:jc w:val="both"/>
              <w:rPr>
                <w:rFonts w:asciiTheme="minorBidi" w:hAnsiTheme="minorBidi" w:cstheme="minorBidi"/>
                <w:sz w:val="16"/>
                <w:szCs w:val="16"/>
                <w:rtl/>
                <w:lang w:bidi="he-IL"/>
              </w:rPr>
            </w:pPr>
            <w:r w:rsidRPr="004B5977">
              <w:rPr>
                <w:rFonts w:asciiTheme="minorBidi" w:hAnsiTheme="minorBidi" w:cstheme="minorBidi"/>
                <w:sz w:val="16"/>
                <w:szCs w:val="16"/>
                <w:rtl/>
                <w:lang w:bidi="he-IL"/>
              </w:rPr>
              <w:t>חפץ כבד</w:t>
            </w:r>
          </w:p>
        </w:tc>
        <w:tc>
          <w:tcPr>
            <w:tcW w:w="1800" w:type="dxa"/>
          </w:tcPr>
          <w:p w14:paraId="1EA72404" w14:textId="77777777" w:rsidR="00A200A7" w:rsidRPr="004B5977" w:rsidRDefault="00A200A7" w:rsidP="00A544D2">
            <w:pPr>
              <w:bidi/>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5 תאונות/הרוגים</w:t>
            </w:r>
          </w:p>
        </w:tc>
        <w:tc>
          <w:tcPr>
            <w:tcW w:w="1620" w:type="dxa"/>
          </w:tcPr>
          <w:p w14:paraId="0D1D7098" w14:textId="77777777" w:rsidR="00A200A7" w:rsidRPr="004B5977" w:rsidRDefault="00A200A7" w:rsidP="00A544D2">
            <w:pPr>
              <w:bidi/>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2 תאונות/הרוגים</w:t>
            </w:r>
          </w:p>
        </w:tc>
        <w:tc>
          <w:tcPr>
            <w:tcW w:w="1710" w:type="dxa"/>
          </w:tcPr>
          <w:p w14:paraId="3D75211B" w14:textId="77777777" w:rsidR="00A200A7" w:rsidRPr="004B5977" w:rsidRDefault="00A200A7" w:rsidP="00A544D2">
            <w:pPr>
              <w:bidi/>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2 תאונות/הרוגים</w:t>
            </w:r>
          </w:p>
        </w:tc>
        <w:tc>
          <w:tcPr>
            <w:tcW w:w="1620" w:type="dxa"/>
          </w:tcPr>
          <w:p w14:paraId="5183D0E4" w14:textId="77777777" w:rsidR="00A200A7" w:rsidRPr="004B5977" w:rsidRDefault="00A200A7" w:rsidP="00A544D2">
            <w:pPr>
              <w:bidi/>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1 תאונ</w:t>
            </w:r>
            <w:r>
              <w:rPr>
                <w:rFonts w:asciiTheme="minorBidi" w:hAnsiTheme="minorBidi" w:cstheme="minorBidi" w:hint="cs"/>
                <w:sz w:val="16"/>
                <w:szCs w:val="16"/>
                <w:rtl/>
                <w:lang w:bidi="he-IL"/>
              </w:rPr>
              <w:t>ו</w:t>
            </w:r>
            <w:r w:rsidRPr="004B5977">
              <w:rPr>
                <w:rFonts w:asciiTheme="minorBidi" w:hAnsiTheme="minorBidi" w:cstheme="minorBidi"/>
                <w:sz w:val="16"/>
                <w:szCs w:val="16"/>
                <w:rtl/>
                <w:lang w:bidi="he-IL"/>
              </w:rPr>
              <w:t>ת/הרוג</w:t>
            </w:r>
            <w:r>
              <w:rPr>
                <w:rFonts w:asciiTheme="minorBidi" w:hAnsiTheme="minorBidi" w:cstheme="minorBidi" w:hint="cs"/>
                <w:sz w:val="16"/>
                <w:szCs w:val="16"/>
                <w:rtl/>
                <w:lang w:bidi="he-IL"/>
              </w:rPr>
              <w:t>ים</w:t>
            </w:r>
          </w:p>
        </w:tc>
        <w:tc>
          <w:tcPr>
            <w:tcW w:w="1980" w:type="dxa"/>
          </w:tcPr>
          <w:p w14:paraId="48F18AA0" w14:textId="77777777" w:rsidR="00A200A7" w:rsidRPr="004B5977" w:rsidRDefault="00A200A7" w:rsidP="00A544D2">
            <w:pPr>
              <w:bidi/>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10 תאונות/הרוגים</w:t>
            </w:r>
          </w:p>
        </w:tc>
      </w:tr>
      <w:tr w:rsidR="00A200A7" w:rsidRPr="004B5977" w14:paraId="16435D56" w14:textId="77777777" w:rsidTr="00A54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FFE18C8" w14:textId="77777777" w:rsidR="00A200A7" w:rsidRPr="004B5977" w:rsidRDefault="00A200A7" w:rsidP="00A544D2">
            <w:pPr>
              <w:bidi/>
              <w:spacing w:after="120" w:line="360" w:lineRule="auto"/>
              <w:jc w:val="both"/>
              <w:rPr>
                <w:rFonts w:asciiTheme="minorBidi" w:hAnsiTheme="minorBidi" w:cstheme="minorBidi"/>
                <w:sz w:val="16"/>
                <w:szCs w:val="16"/>
                <w:rtl/>
                <w:lang w:bidi="he-IL"/>
              </w:rPr>
            </w:pPr>
            <w:r w:rsidRPr="004B5977">
              <w:rPr>
                <w:rFonts w:asciiTheme="minorBidi" w:hAnsiTheme="minorBidi" w:cstheme="minorBidi"/>
                <w:sz w:val="16"/>
                <w:szCs w:val="16"/>
                <w:rtl/>
                <w:lang w:bidi="he-IL"/>
              </w:rPr>
              <w:t>קריסה</w:t>
            </w:r>
          </w:p>
        </w:tc>
        <w:tc>
          <w:tcPr>
            <w:tcW w:w="1800" w:type="dxa"/>
          </w:tcPr>
          <w:p w14:paraId="5209BFD8" w14:textId="77777777" w:rsidR="00A200A7" w:rsidRPr="004B5977" w:rsidRDefault="00A200A7" w:rsidP="00A544D2">
            <w:pPr>
              <w:bidi/>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3 תאונות / 7 הרוגים</w:t>
            </w:r>
          </w:p>
        </w:tc>
        <w:tc>
          <w:tcPr>
            <w:tcW w:w="1620" w:type="dxa"/>
          </w:tcPr>
          <w:p w14:paraId="5B119FCD" w14:textId="77777777" w:rsidR="00A200A7" w:rsidRPr="004B5977" w:rsidRDefault="00A200A7" w:rsidP="00A544D2">
            <w:pPr>
              <w:bidi/>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tl/>
                <w:lang w:bidi="he-IL"/>
              </w:rPr>
            </w:pPr>
          </w:p>
        </w:tc>
        <w:tc>
          <w:tcPr>
            <w:tcW w:w="1710" w:type="dxa"/>
          </w:tcPr>
          <w:p w14:paraId="4E2C6F9C" w14:textId="77777777" w:rsidR="00A200A7" w:rsidRPr="004B5977" w:rsidRDefault="00A200A7" w:rsidP="00A544D2">
            <w:pPr>
              <w:bidi/>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tl/>
                <w:lang w:bidi="he-IL"/>
              </w:rPr>
            </w:pPr>
          </w:p>
        </w:tc>
        <w:tc>
          <w:tcPr>
            <w:tcW w:w="1620" w:type="dxa"/>
          </w:tcPr>
          <w:p w14:paraId="19C2A258" w14:textId="77777777" w:rsidR="00A200A7" w:rsidRPr="004B5977" w:rsidRDefault="00A200A7" w:rsidP="00A544D2">
            <w:pPr>
              <w:bidi/>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tl/>
                <w:lang w:bidi="he-IL"/>
              </w:rPr>
            </w:pPr>
          </w:p>
        </w:tc>
        <w:tc>
          <w:tcPr>
            <w:tcW w:w="1980" w:type="dxa"/>
          </w:tcPr>
          <w:p w14:paraId="5ADAC84F" w14:textId="77777777" w:rsidR="00A200A7" w:rsidRPr="004B5977" w:rsidRDefault="00A200A7" w:rsidP="00A544D2">
            <w:pPr>
              <w:bidi/>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3 תאונות/7 הרוגים</w:t>
            </w:r>
          </w:p>
        </w:tc>
      </w:tr>
      <w:tr w:rsidR="00A200A7" w:rsidRPr="004B5977" w14:paraId="18B441CF" w14:textId="77777777" w:rsidTr="00A544D2">
        <w:tc>
          <w:tcPr>
            <w:cnfStyle w:val="001000000000" w:firstRow="0" w:lastRow="0" w:firstColumn="1" w:lastColumn="0" w:oddVBand="0" w:evenVBand="0" w:oddHBand="0" w:evenHBand="0" w:firstRowFirstColumn="0" w:firstRowLastColumn="0" w:lastRowFirstColumn="0" w:lastRowLastColumn="0"/>
            <w:tcW w:w="1368" w:type="dxa"/>
          </w:tcPr>
          <w:p w14:paraId="31606F87" w14:textId="77777777" w:rsidR="00A200A7" w:rsidRPr="004B5977" w:rsidRDefault="00A200A7" w:rsidP="00A544D2">
            <w:pPr>
              <w:bidi/>
              <w:spacing w:after="120" w:line="360" w:lineRule="auto"/>
              <w:jc w:val="both"/>
              <w:rPr>
                <w:rFonts w:asciiTheme="minorBidi" w:hAnsiTheme="minorBidi" w:cstheme="minorBidi"/>
                <w:sz w:val="16"/>
                <w:szCs w:val="16"/>
                <w:rtl/>
                <w:lang w:bidi="he-IL"/>
              </w:rPr>
            </w:pPr>
            <w:r w:rsidRPr="004B5977">
              <w:rPr>
                <w:rFonts w:asciiTheme="minorBidi" w:hAnsiTheme="minorBidi" w:cstheme="minorBidi"/>
                <w:sz w:val="16"/>
                <w:szCs w:val="16"/>
                <w:rtl/>
                <w:lang w:bidi="he-IL"/>
              </w:rPr>
              <w:t>רכב עבודה</w:t>
            </w:r>
          </w:p>
        </w:tc>
        <w:tc>
          <w:tcPr>
            <w:tcW w:w="1800" w:type="dxa"/>
          </w:tcPr>
          <w:p w14:paraId="5BA36C3A" w14:textId="77777777" w:rsidR="00A200A7" w:rsidRPr="004B5977" w:rsidRDefault="00A200A7" w:rsidP="00A544D2">
            <w:pPr>
              <w:bidi/>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tl/>
                <w:lang w:bidi="he-IL"/>
              </w:rPr>
            </w:pPr>
            <w:r>
              <w:rPr>
                <w:rFonts w:asciiTheme="minorBidi" w:hAnsiTheme="minorBidi" w:cstheme="minorBidi" w:hint="cs"/>
                <w:sz w:val="16"/>
                <w:szCs w:val="16"/>
                <w:rtl/>
                <w:lang w:bidi="he-IL"/>
              </w:rPr>
              <w:t>1</w:t>
            </w:r>
            <w:r w:rsidRPr="004B5977">
              <w:rPr>
                <w:rFonts w:asciiTheme="minorBidi" w:hAnsiTheme="minorBidi" w:cstheme="minorBidi"/>
                <w:sz w:val="16"/>
                <w:szCs w:val="16"/>
                <w:rtl/>
                <w:lang w:bidi="he-IL"/>
              </w:rPr>
              <w:t xml:space="preserve"> תאונות/הרוגים</w:t>
            </w:r>
          </w:p>
        </w:tc>
        <w:tc>
          <w:tcPr>
            <w:tcW w:w="1620" w:type="dxa"/>
          </w:tcPr>
          <w:p w14:paraId="277BD346" w14:textId="77777777" w:rsidR="00A200A7" w:rsidRPr="004B5977" w:rsidRDefault="00A200A7" w:rsidP="00A544D2">
            <w:pPr>
              <w:bidi/>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3 תאונות/הרוגים</w:t>
            </w:r>
          </w:p>
        </w:tc>
        <w:tc>
          <w:tcPr>
            <w:tcW w:w="1710" w:type="dxa"/>
          </w:tcPr>
          <w:p w14:paraId="5464F4FA" w14:textId="77777777" w:rsidR="00A200A7" w:rsidRPr="004B5977" w:rsidRDefault="00A200A7" w:rsidP="00A544D2">
            <w:pPr>
              <w:bidi/>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1 תאונות/הרוגים</w:t>
            </w:r>
          </w:p>
        </w:tc>
        <w:tc>
          <w:tcPr>
            <w:tcW w:w="1620" w:type="dxa"/>
          </w:tcPr>
          <w:p w14:paraId="4016FEC6" w14:textId="77777777" w:rsidR="00A200A7" w:rsidRPr="004B5977" w:rsidRDefault="00A200A7" w:rsidP="00A544D2">
            <w:pPr>
              <w:bidi/>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2 תאונות/הרוגים</w:t>
            </w:r>
          </w:p>
        </w:tc>
        <w:tc>
          <w:tcPr>
            <w:tcW w:w="1980" w:type="dxa"/>
          </w:tcPr>
          <w:p w14:paraId="4D38D79B" w14:textId="77777777" w:rsidR="00A200A7" w:rsidRPr="004B5977" w:rsidRDefault="00A200A7" w:rsidP="00A544D2">
            <w:pPr>
              <w:bidi/>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7 תאונות/הרוגים</w:t>
            </w:r>
          </w:p>
        </w:tc>
      </w:tr>
      <w:tr w:rsidR="00A200A7" w:rsidRPr="004B5977" w14:paraId="1816B179" w14:textId="77777777" w:rsidTr="00A54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564D5646" w14:textId="77777777" w:rsidR="00A200A7" w:rsidRPr="004B5977" w:rsidRDefault="00A200A7" w:rsidP="00A544D2">
            <w:pPr>
              <w:bidi/>
              <w:spacing w:after="120" w:line="360" w:lineRule="auto"/>
              <w:jc w:val="both"/>
              <w:rPr>
                <w:rFonts w:asciiTheme="minorBidi" w:hAnsiTheme="minorBidi" w:cstheme="minorBidi"/>
                <w:sz w:val="16"/>
                <w:szCs w:val="16"/>
                <w:rtl/>
                <w:lang w:bidi="he-IL"/>
              </w:rPr>
            </w:pPr>
            <w:r w:rsidRPr="004B5977">
              <w:rPr>
                <w:rFonts w:asciiTheme="minorBidi" w:hAnsiTheme="minorBidi" w:cstheme="minorBidi"/>
                <w:sz w:val="16"/>
                <w:szCs w:val="16"/>
                <w:rtl/>
                <w:lang w:bidi="he-IL"/>
              </w:rPr>
              <w:t>התחשמלות</w:t>
            </w:r>
          </w:p>
        </w:tc>
        <w:tc>
          <w:tcPr>
            <w:tcW w:w="1800" w:type="dxa"/>
          </w:tcPr>
          <w:p w14:paraId="6FF39E7B" w14:textId="77777777" w:rsidR="00A200A7" w:rsidRPr="004B5977" w:rsidRDefault="00A200A7" w:rsidP="00A544D2">
            <w:pPr>
              <w:bidi/>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1 תאונות/הרוגים</w:t>
            </w:r>
          </w:p>
        </w:tc>
        <w:tc>
          <w:tcPr>
            <w:tcW w:w="1620" w:type="dxa"/>
          </w:tcPr>
          <w:p w14:paraId="7013D9D4" w14:textId="77777777" w:rsidR="00A200A7" w:rsidRPr="004B5977" w:rsidRDefault="00A200A7" w:rsidP="00A544D2">
            <w:pPr>
              <w:bidi/>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tl/>
                <w:lang w:bidi="he-IL"/>
              </w:rPr>
            </w:pPr>
          </w:p>
        </w:tc>
        <w:tc>
          <w:tcPr>
            <w:tcW w:w="1710" w:type="dxa"/>
          </w:tcPr>
          <w:p w14:paraId="449891AD" w14:textId="77777777" w:rsidR="00A200A7" w:rsidRPr="004B5977" w:rsidRDefault="00A200A7" w:rsidP="00A544D2">
            <w:pPr>
              <w:bidi/>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1 תאונות/2 הרוגים</w:t>
            </w:r>
          </w:p>
        </w:tc>
        <w:tc>
          <w:tcPr>
            <w:tcW w:w="1620" w:type="dxa"/>
          </w:tcPr>
          <w:p w14:paraId="2C1976D6" w14:textId="77777777" w:rsidR="00A200A7" w:rsidRPr="004B5977" w:rsidRDefault="00A200A7" w:rsidP="00A544D2">
            <w:pPr>
              <w:bidi/>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tl/>
                <w:lang w:bidi="he-IL"/>
              </w:rPr>
            </w:pPr>
          </w:p>
        </w:tc>
        <w:tc>
          <w:tcPr>
            <w:tcW w:w="1980" w:type="dxa"/>
          </w:tcPr>
          <w:p w14:paraId="67F0B32D" w14:textId="77777777" w:rsidR="00A200A7" w:rsidRPr="004B5977" w:rsidRDefault="00A200A7" w:rsidP="00A544D2">
            <w:pPr>
              <w:bidi/>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2 תאונות/3 הרוגים</w:t>
            </w:r>
          </w:p>
        </w:tc>
      </w:tr>
      <w:tr w:rsidR="00A200A7" w:rsidRPr="004B5977" w14:paraId="21DBDD95" w14:textId="77777777" w:rsidTr="00A544D2">
        <w:tc>
          <w:tcPr>
            <w:cnfStyle w:val="001000000000" w:firstRow="0" w:lastRow="0" w:firstColumn="1" w:lastColumn="0" w:oddVBand="0" w:evenVBand="0" w:oddHBand="0" w:evenHBand="0" w:firstRowFirstColumn="0" w:firstRowLastColumn="0" w:lastRowFirstColumn="0" w:lastRowLastColumn="0"/>
            <w:tcW w:w="1368" w:type="dxa"/>
          </w:tcPr>
          <w:p w14:paraId="39A3268E" w14:textId="77777777" w:rsidR="00A200A7" w:rsidRPr="004B5977" w:rsidRDefault="00A200A7" w:rsidP="00A544D2">
            <w:pPr>
              <w:bidi/>
              <w:spacing w:after="120" w:line="360" w:lineRule="auto"/>
              <w:jc w:val="both"/>
              <w:rPr>
                <w:rFonts w:asciiTheme="minorBidi" w:hAnsiTheme="minorBidi" w:cstheme="minorBidi"/>
                <w:sz w:val="16"/>
                <w:szCs w:val="16"/>
                <w:rtl/>
                <w:lang w:bidi="he-IL"/>
              </w:rPr>
            </w:pPr>
            <w:r w:rsidRPr="004B5977">
              <w:rPr>
                <w:rFonts w:asciiTheme="minorBidi" w:hAnsiTheme="minorBidi" w:cstheme="minorBidi"/>
                <w:sz w:val="16"/>
                <w:szCs w:val="16"/>
                <w:rtl/>
                <w:lang w:bidi="he-IL"/>
              </w:rPr>
              <w:t>לכידה במכונה</w:t>
            </w:r>
          </w:p>
        </w:tc>
        <w:tc>
          <w:tcPr>
            <w:tcW w:w="1800" w:type="dxa"/>
          </w:tcPr>
          <w:p w14:paraId="430AE6E2" w14:textId="77777777" w:rsidR="00A200A7" w:rsidRPr="004B5977" w:rsidRDefault="00A200A7" w:rsidP="00A544D2">
            <w:pPr>
              <w:bidi/>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tl/>
                <w:lang w:bidi="he-IL"/>
              </w:rPr>
            </w:pPr>
          </w:p>
        </w:tc>
        <w:tc>
          <w:tcPr>
            <w:tcW w:w="1620" w:type="dxa"/>
          </w:tcPr>
          <w:p w14:paraId="14484904" w14:textId="77777777" w:rsidR="00A200A7" w:rsidRPr="004B5977" w:rsidRDefault="00A200A7" w:rsidP="00A544D2">
            <w:pPr>
              <w:bidi/>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1 תאונות/הרוגים</w:t>
            </w:r>
          </w:p>
        </w:tc>
        <w:tc>
          <w:tcPr>
            <w:tcW w:w="1710" w:type="dxa"/>
          </w:tcPr>
          <w:p w14:paraId="3425DAEC" w14:textId="77777777" w:rsidR="00A200A7" w:rsidRPr="004B5977" w:rsidRDefault="00A200A7" w:rsidP="00A544D2">
            <w:pPr>
              <w:bidi/>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tl/>
                <w:lang w:bidi="he-IL"/>
              </w:rPr>
            </w:pPr>
          </w:p>
        </w:tc>
        <w:tc>
          <w:tcPr>
            <w:tcW w:w="1620" w:type="dxa"/>
          </w:tcPr>
          <w:p w14:paraId="2B4C599E" w14:textId="77777777" w:rsidR="00A200A7" w:rsidRPr="004B5977" w:rsidRDefault="00A200A7" w:rsidP="00A544D2">
            <w:pPr>
              <w:bidi/>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tl/>
                <w:lang w:bidi="he-IL"/>
              </w:rPr>
            </w:pPr>
          </w:p>
        </w:tc>
        <w:tc>
          <w:tcPr>
            <w:tcW w:w="1980" w:type="dxa"/>
          </w:tcPr>
          <w:p w14:paraId="2B16B99F" w14:textId="77777777" w:rsidR="00A200A7" w:rsidRPr="004B5977" w:rsidRDefault="00A200A7" w:rsidP="00A544D2">
            <w:pPr>
              <w:bidi/>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tl/>
                <w:lang w:bidi="he-IL"/>
              </w:rPr>
            </w:pPr>
            <w:r w:rsidRPr="004B5977">
              <w:rPr>
                <w:rFonts w:asciiTheme="minorBidi" w:hAnsiTheme="minorBidi" w:cstheme="minorBidi"/>
                <w:sz w:val="16"/>
                <w:szCs w:val="16"/>
                <w:rtl/>
                <w:lang w:bidi="he-IL"/>
              </w:rPr>
              <w:t>1 תאונות/הרוגים</w:t>
            </w:r>
          </w:p>
        </w:tc>
      </w:tr>
    </w:tbl>
    <w:p w14:paraId="0AD06849" w14:textId="77777777" w:rsidR="00A200A7" w:rsidRDefault="00A200A7" w:rsidP="00A200A7">
      <w:pPr>
        <w:bidi/>
        <w:spacing w:after="120" w:line="360" w:lineRule="auto"/>
        <w:jc w:val="both"/>
        <w:rPr>
          <w:rFonts w:ascii="Arial" w:hAnsi="Arial" w:cs="Arial"/>
          <w:b/>
          <w:bCs/>
          <w:sz w:val="22"/>
          <w:szCs w:val="22"/>
          <w:lang w:bidi="he-IL"/>
        </w:rPr>
      </w:pPr>
    </w:p>
    <w:p w14:paraId="783D731C" w14:textId="24D671A5" w:rsidR="00A200A7" w:rsidRDefault="00F21B72" w:rsidP="00A200A7">
      <w:pPr>
        <w:bidi/>
        <w:spacing w:after="120" w:line="360" w:lineRule="auto"/>
        <w:jc w:val="both"/>
        <w:rPr>
          <w:rFonts w:ascii="Arial" w:hAnsi="Arial" w:cs="Arial"/>
          <w:b/>
          <w:bCs/>
          <w:sz w:val="22"/>
          <w:szCs w:val="22"/>
          <w:rtl/>
          <w:lang w:bidi="he-IL"/>
        </w:rPr>
      </w:pPr>
      <w:r w:rsidRPr="00F73D6C">
        <w:rPr>
          <w:rFonts w:ascii="Arial" w:hAnsi="Arial" w:cs="Arial" w:hint="cs"/>
          <w:b/>
          <w:bCs/>
          <w:sz w:val="22"/>
          <w:szCs w:val="22"/>
          <w:rtl/>
          <w:lang w:bidi="he-IL"/>
        </w:rPr>
        <w:t>'נפילה מגובה' הוא הגורם המוביל בתאונות עבודה קטלניות בענף הבניה</w:t>
      </w:r>
      <w:r>
        <w:rPr>
          <w:rFonts w:ascii="Arial" w:hAnsi="Arial" w:cs="Arial" w:hint="cs"/>
          <w:sz w:val="22"/>
          <w:szCs w:val="22"/>
          <w:rtl/>
          <w:lang w:bidi="he-IL"/>
        </w:rPr>
        <w:t>:</w:t>
      </w:r>
    </w:p>
    <w:p w14:paraId="1583064E" w14:textId="77777777" w:rsidR="00B87500" w:rsidRPr="00CD7A85" w:rsidRDefault="00B87500" w:rsidP="0041535C">
      <w:pPr>
        <w:bidi/>
        <w:spacing w:after="120" w:line="360" w:lineRule="auto"/>
        <w:jc w:val="center"/>
        <w:rPr>
          <w:rFonts w:asciiTheme="minorBidi" w:hAnsiTheme="minorBidi" w:cstheme="minorBidi"/>
          <w:sz w:val="22"/>
          <w:szCs w:val="22"/>
          <w:rtl/>
          <w:lang w:bidi="he-IL"/>
        </w:rPr>
      </w:pPr>
      <w:r w:rsidRPr="00CD7A85">
        <w:rPr>
          <w:rFonts w:asciiTheme="minorBidi" w:hAnsiTheme="minorBidi" w:cstheme="minorBidi"/>
          <w:noProof/>
          <w:sz w:val="22"/>
          <w:szCs w:val="22"/>
          <w:rtl/>
          <w:lang w:bidi="he-IL"/>
        </w:rPr>
        <w:drawing>
          <wp:inline distT="0" distB="0" distL="0" distR="0" wp14:anchorId="33196A3A" wp14:editId="0718B6A3">
            <wp:extent cx="4617058" cy="3029447"/>
            <wp:effectExtent l="0" t="0" r="1270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CEC4F5" w14:textId="77777777" w:rsidR="006422AC" w:rsidRPr="00CD7A85" w:rsidRDefault="006422AC" w:rsidP="0041535C">
      <w:pPr>
        <w:bidi/>
        <w:spacing w:line="360" w:lineRule="auto"/>
        <w:rPr>
          <w:rFonts w:asciiTheme="minorBidi" w:hAnsiTheme="minorBidi" w:cstheme="minorBidi"/>
          <w:sz w:val="22"/>
          <w:szCs w:val="22"/>
          <w:rtl/>
          <w:lang w:bidi="he-IL"/>
        </w:rPr>
      </w:pPr>
    </w:p>
    <w:p w14:paraId="0A66A2D4" w14:textId="77777777" w:rsidR="006422AC" w:rsidRPr="00CD7A85" w:rsidRDefault="006422AC" w:rsidP="006422AC">
      <w:pPr>
        <w:bidi/>
        <w:spacing w:line="360" w:lineRule="auto"/>
        <w:rPr>
          <w:rFonts w:asciiTheme="minorBidi" w:hAnsiTheme="minorBidi" w:cstheme="minorBidi"/>
          <w:sz w:val="22"/>
          <w:szCs w:val="22"/>
          <w:rtl/>
          <w:lang w:bidi="he-IL"/>
        </w:rPr>
      </w:pPr>
    </w:p>
    <w:p w14:paraId="15724CBB" w14:textId="77777777" w:rsidR="00F21B72" w:rsidRDefault="00F21B72" w:rsidP="006422AC">
      <w:pPr>
        <w:bidi/>
        <w:spacing w:line="360" w:lineRule="auto"/>
        <w:rPr>
          <w:rFonts w:asciiTheme="minorBidi" w:hAnsiTheme="minorBidi" w:cstheme="minorBidi"/>
          <w:b/>
          <w:bCs/>
          <w:sz w:val="22"/>
          <w:szCs w:val="22"/>
          <w:u w:val="single"/>
          <w:rtl/>
          <w:lang w:bidi="he-IL"/>
        </w:rPr>
      </w:pPr>
    </w:p>
    <w:p w14:paraId="74734991" w14:textId="77777777" w:rsidR="00F21B72" w:rsidRDefault="00F21B72" w:rsidP="00F21B72">
      <w:pPr>
        <w:bidi/>
        <w:spacing w:line="360" w:lineRule="auto"/>
        <w:rPr>
          <w:rFonts w:asciiTheme="minorBidi" w:hAnsiTheme="minorBidi" w:cstheme="minorBidi"/>
          <w:b/>
          <w:bCs/>
          <w:sz w:val="22"/>
          <w:szCs w:val="22"/>
          <w:u w:val="single"/>
          <w:rtl/>
          <w:lang w:bidi="he-IL"/>
        </w:rPr>
      </w:pPr>
    </w:p>
    <w:p w14:paraId="211C2920" w14:textId="77777777" w:rsidR="00F21B72" w:rsidRDefault="00F21B72" w:rsidP="00F21B72">
      <w:pPr>
        <w:bidi/>
        <w:spacing w:line="360" w:lineRule="auto"/>
        <w:rPr>
          <w:rFonts w:asciiTheme="minorBidi" w:hAnsiTheme="minorBidi" w:cstheme="minorBidi"/>
          <w:b/>
          <w:bCs/>
          <w:sz w:val="22"/>
          <w:szCs w:val="22"/>
          <w:u w:val="single"/>
          <w:rtl/>
          <w:lang w:bidi="he-IL"/>
        </w:rPr>
      </w:pPr>
    </w:p>
    <w:p w14:paraId="6BD1D228" w14:textId="77777777" w:rsidR="00F21B72" w:rsidRDefault="00F21B72" w:rsidP="00F21B72">
      <w:pPr>
        <w:bidi/>
        <w:spacing w:line="360" w:lineRule="auto"/>
        <w:rPr>
          <w:rFonts w:asciiTheme="minorBidi" w:hAnsiTheme="minorBidi" w:cstheme="minorBidi"/>
          <w:b/>
          <w:bCs/>
          <w:sz w:val="22"/>
          <w:szCs w:val="22"/>
          <w:u w:val="single"/>
          <w:rtl/>
          <w:lang w:bidi="he-IL"/>
        </w:rPr>
      </w:pPr>
    </w:p>
    <w:p w14:paraId="5E9594E2" w14:textId="6B782C2F" w:rsidR="00E87282" w:rsidRPr="00CD7A85" w:rsidRDefault="008F55B9" w:rsidP="00F21B72">
      <w:pPr>
        <w:bidi/>
        <w:spacing w:line="360" w:lineRule="auto"/>
        <w:rPr>
          <w:rFonts w:asciiTheme="minorBidi" w:hAnsiTheme="minorBidi" w:cstheme="minorBidi"/>
          <w:b/>
          <w:bCs/>
          <w:sz w:val="22"/>
          <w:szCs w:val="22"/>
          <w:u w:val="single"/>
          <w:rtl/>
          <w:lang w:bidi="he-IL"/>
        </w:rPr>
      </w:pPr>
      <w:r w:rsidRPr="00CD7A85">
        <w:rPr>
          <w:rFonts w:asciiTheme="minorBidi" w:hAnsiTheme="minorBidi" w:cstheme="minorBidi"/>
          <w:b/>
          <w:bCs/>
          <w:sz w:val="22"/>
          <w:szCs w:val="22"/>
          <w:u w:val="single"/>
          <w:rtl/>
          <w:lang w:bidi="he-IL"/>
        </w:rPr>
        <w:lastRenderedPageBreak/>
        <w:t>צעדים דרושים לקידום בטיחות העובדים במשק הישראלי</w:t>
      </w:r>
    </w:p>
    <w:p w14:paraId="2B7D84EF" w14:textId="51126966" w:rsidR="008F55B9" w:rsidRPr="00CD7A85" w:rsidRDefault="006422AC" w:rsidP="00302EEB">
      <w:pPr>
        <w:bidi/>
        <w:spacing w:after="120" w:line="360" w:lineRule="auto"/>
        <w:jc w:val="both"/>
        <w:rPr>
          <w:rFonts w:asciiTheme="minorBidi" w:hAnsiTheme="minorBidi" w:cstheme="minorBidi"/>
          <w:b/>
          <w:bCs/>
          <w:sz w:val="22"/>
          <w:szCs w:val="22"/>
          <w:u w:val="single"/>
          <w:rtl/>
          <w:lang w:bidi="he-IL"/>
        </w:rPr>
      </w:pPr>
      <w:r w:rsidRPr="00CD7A85">
        <w:rPr>
          <w:rFonts w:asciiTheme="minorBidi" w:hAnsiTheme="minorBidi" w:cstheme="minorBidi"/>
          <w:sz w:val="22"/>
          <w:szCs w:val="22"/>
          <w:rtl/>
          <w:lang w:bidi="he-IL"/>
        </w:rPr>
        <w:t>ה</w:t>
      </w:r>
      <w:r w:rsidR="00967A5E" w:rsidRPr="00CD7A85">
        <w:rPr>
          <w:rFonts w:asciiTheme="minorBidi" w:hAnsiTheme="minorBidi" w:cstheme="minorBidi"/>
          <w:sz w:val="22"/>
          <w:szCs w:val="22"/>
          <w:rtl/>
          <w:lang w:bidi="he-IL"/>
        </w:rPr>
        <w:t xml:space="preserve">מציאות </w:t>
      </w:r>
      <w:r w:rsidRPr="00CD7A85">
        <w:rPr>
          <w:rFonts w:asciiTheme="minorBidi" w:hAnsiTheme="minorBidi" w:cstheme="minorBidi"/>
          <w:sz w:val="22"/>
          <w:szCs w:val="22"/>
          <w:rtl/>
          <w:lang w:bidi="he-IL"/>
        </w:rPr>
        <w:t xml:space="preserve">העגומה </w:t>
      </w:r>
      <w:r w:rsidR="00967A5E" w:rsidRPr="00CD7A85">
        <w:rPr>
          <w:rFonts w:asciiTheme="minorBidi" w:hAnsiTheme="minorBidi" w:cstheme="minorBidi"/>
          <w:sz w:val="22"/>
          <w:szCs w:val="22"/>
          <w:rtl/>
          <w:lang w:bidi="he-IL"/>
        </w:rPr>
        <w:t>הנחשפת בדו</w:t>
      </w:r>
      <w:r w:rsidRPr="00CD7A85">
        <w:rPr>
          <w:rFonts w:asciiTheme="minorBidi" w:hAnsiTheme="minorBidi" w:cstheme="minorBidi"/>
          <w:sz w:val="22"/>
          <w:szCs w:val="22"/>
          <w:rtl/>
          <w:lang w:bidi="he-IL"/>
        </w:rPr>
        <w:t>"</w:t>
      </w:r>
      <w:r w:rsidR="00967A5E" w:rsidRPr="00CD7A85">
        <w:rPr>
          <w:rFonts w:asciiTheme="minorBidi" w:hAnsiTheme="minorBidi" w:cstheme="minorBidi"/>
          <w:sz w:val="22"/>
          <w:szCs w:val="22"/>
          <w:rtl/>
          <w:lang w:bidi="he-IL"/>
        </w:rPr>
        <w:t>ח, לא החלה השנה</w:t>
      </w:r>
      <w:r w:rsidRPr="00CD7A85">
        <w:rPr>
          <w:rFonts w:asciiTheme="minorBidi" w:hAnsiTheme="minorBidi" w:cstheme="minorBidi"/>
          <w:sz w:val="22"/>
          <w:szCs w:val="22"/>
          <w:rtl/>
          <w:lang w:bidi="he-IL"/>
        </w:rPr>
        <w:t xml:space="preserve">, עם זאת </w:t>
      </w:r>
      <w:r w:rsidR="00D92E90" w:rsidRPr="00CD7A85">
        <w:rPr>
          <w:rFonts w:asciiTheme="minorBidi" w:hAnsiTheme="minorBidi" w:cstheme="minorBidi"/>
          <w:sz w:val="22"/>
          <w:szCs w:val="22"/>
          <w:rtl/>
          <w:lang w:bidi="he-IL"/>
        </w:rPr>
        <w:t xml:space="preserve">הנתונים </w:t>
      </w:r>
      <w:r w:rsidRPr="00CD7A85">
        <w:rPr>
          <w:rFonts w:asciiTheme="minorBidi" w:hAnsiTheme="minorBidi" w:cstheme="minorBidi"/>
          <w:sz w:val="22"/>
          <w:szCs w:val="22"/>
          <w:rtl/>
          <w:lang w:bidi="he-IL"/>
        </w:rPr>
        <w:t>החמורים</w:t>
      </w:r>
      <w:r w:rsidR="00D92E90" w:rsidRPr="00CD7A85">
        <w:rPr>
          <w:rFonts w:asciiTheme="minorBidi" w:hAnsiTheme="minorBidi" w:cstheme="minorBidi"/>
          <w:sz w:val="22"/>
          <w:szCs w:val="22"/>
          <w:rtl/>
          <w:lang w:bidi="he-IL"/>
        </w:rPr>
        <w:t xml:space="preserve"> מצביעים על </w:t>
      </w:r>
      <w:r w:rsidRPr="00CD7A85">
        <w:rPr>
          <w:rFonts w:asciiTheme="minorBidi" w:hAnsiTheme="minorBidi" w:cstheme="minorBidi"/>
          <w:sz w:val="22"/>
          <w:szCs w:val="22"/>
          <w:rtl/>
          <w:lang w:bidi="he-IL"/>
        </w:rPr>
        <w:t>התדרדרו</w:t>
      </w:r>
      <w:r w:rsidR="00D92E90" w:rsidRPr="00CD7A85">
        <w:rPr>
          <w:rFonts w:asciiTheme="minorBidi" w:hAnsiTheme="minorBidi" w:cstheme="minorBidi"/>
          <w:sz w:val="22"/>
          <w:szCs w:val="22"/>
          <w:rtl/>
          <w:lang w:bidi="he-IL"/>
        </w:rPr>
        <w:t xml:space="preserve">ת בתחום הבטיחות בעבודה </w:t>
      </w:r>
      <w:r w:rsidR="002A06FF" w:rsidRPr="00CD7A85">
        <w:rPr>
          <w:rFonts w:asciiTheme="minorBidi" w:hAnsiTheme="minorBidi" w:cstheme="minorBidi"/>
          <w:sz w:val="22"/>
          <w:szCs w:val="22"/>
          <w:rtl/>
          <w:lang w:bidi="he-IL"/>
        </w:rPr>
        <w:t>המתבטאת בעל</w:t>
      </w:r>
      <w:r w:rsidRPr="00CD7A85">
        <w:rPr>
          <w:rFonts w:asciiTheme="minorBidi" w:hAnsiTheme="minorBidi" w:cstheme="minorBidi"/>
          <w:sz w:val="22"/>
          <w:szCs w:val="22"/>
          <w:rtl/>
          <w:lang w:bidi="he-IL"/>
        </w:rPr>
        <w:t>י</w:t>
      </w:r>
      <w:r w:rsidR="002A06FF" w:rsidRPr="00CD7A85">
        <w:rPr>
          <w:rFonts w:asciiTheme="minorBidi" w:hAnsiTheme="minorBidi" w:cstheme="minorBidi"/>
          <w:sz w:val="22"/>
          <w:szCs w:val="22"/>
          <w:rtl/>
          <w:lang w:bidi="he-IL"/>
        </w:rPr>
        <w:t xml:space="preserve">יה במספר ההרוגים בתאונות עבודה, </w:t>
      </w:r>
      <w:r w:rsidR="00D92E90" w:rsidRPr="00CD7A85">
        <w:rPr>
          <w:rFonts w:asciiTheme="minorBidi" w:hAnsiTheme="minorBidi" w:cstheme="minorBidi"/>
          <w:sz w:val="22"/>
          <w:szCs w:val="22"/>
          <w:rtl/>
          <w:lang w:bidi="he-IL"/>
        </w:rPr>
        <w:t>ולא רק בענף הבניה אלא בכל המשק</w:t>
      </w:r>
      <w:r w:rsidR="00967A5E" w:rsidRPr="00CD7A85">
        <w:rPr>
          <w:rFonts w:asciiTheme="minorBidi" w:hAnsiTheme="minorBidi" w:cstheme="minorBidi"/>
          <w:sz w:val="22"/>
          <w:szCs w:val="22"/>
          <w:rtl/>
          <w:lang w:bidi="he-IL"/>
        </w:rPr>
        <w:t>.</w:t>
      </w:r>
      <w:r w:rsidRPr="00CD7A85">
        <w:rPr>
          <w:rFonts w:asciiTheme="minorBidi" w:hAnsiTheme="minorBidi" w:cstheme="minorBidi"/>
          <w:sz w:val="22"/>
          <w:szCs w:val="22"/>
          <w:rtl/>
          <w:lang w:bidi="he-IL"/>
        </w:rPr>
        <w:t xml:space="preserve"> יצוי</w:t>
      </w:r>
      <w:r w:rsidR="00D92E90" w:rsidRPr="00CD7A85">
        <w:rPr>
          <w:rFonts w:asciiTheme="minorBidi" w:hAnsiTheme="minorBidi" w:cstheme="minorBidi"/>
          <w:sz w:val="22"/>
          <w:szCs w:val="22"/>
          <w:rtl/>
          <w:lang w:bidi="he-IL"/>
        </w:rPr>
        <w:t>ן, כי העל</w:t>
      </w:r>
      <w:r w:rsidRPr="00CD7A85">
        <w:rPr>
          <w:rFonts w:asciiTheme="minorBidi" w:hAnsiTheme="minorBidi" w:cstheme="minorBidi"/>
          <w:sz w:val="22"/>
          <w:szCs w:val="22"/>
          <w:rtl/>
          <w:lang w:bidi="he-IL"/>
        </w:rPr>
        <w:t>י</w:t>
      </w:r>
      <w:r w:rsidR="00D92E90" w:rsidRPr="00CD7A85">
        <w:rPr>
          <w:rFonts w:asciiTheme="minorBidi" w:hAnsiTheme="minorBidi" w:cstheme="minorBidi"/>
          <w:sz w:val="22"/>
          <w:szCs w:val="22"/>
          <w:rtl/>
          <w:lang w:bidi="he-IL"/>
        </w:rPr>
        <w:t xml:space="preserve">יה במספר ההרוגים בתאונות עבודה בכל המשק, </w:t>
      </w:r>
      <w:r w:rsidR="002A06FF" w:rsidRPr="00CD7A85">
        <w:rPr>
          <w:rFonts w:asciiTheme="minorBidi" w:hAnsiTheme="minorBidi" w:cstheme="minorBidi"/>
          <w:sz w:val="22"/>
          <w:szCs w:val="22"/>
          <w:rtl/>
          <w:lang w:bidi="he-IL"/>
        </w:rPr>
        <w:t>נרשמה גם</w:t>
      </w:r>
      <w:r w:rsidR="00D92E90" w:rsidRPr="00CD7A85">
        <w:rPr>
          <w:rFonts w:asciiTheme="minorBidi" w:hAnsiTheme="minorBidi" w:cstheme="minorBidi"/>
          <w:sz w:val="22"/>
          <w:szCs w:val="22"/>
          <w:rtl/>
          <w:lang w:bidi="he-IL"/>
        </w:rPr>
        <w:t xml:space="preserve"> בשנה שעבר</w:t>
      </w:r>
      <w:r w:rsidR="002A06FF" w:rsidRPr="00CD7A85">
        <w:rPr>
          <w:rFonts w:asciiTheme="minorBidi" w:hAnsiTheme="minorBidi" w:cstheme="minorBidi"/>
          <w:sz w:val="22"/>
          <w:szCs w:val="22"/>
          <w:rtl/>
          <w:lang w:bidi="he-IL"/>
        </w:rPr>
        <w:t>ה</w:t>
      </w:r>
      <w:r w:rsidR="00D92E90" w:rsidRPr="00CD7A85">
        <w:rPr>
          <w:rFonts w:asciiTheme="minorBidi" w:hAnsiTheme="minorBidi" w:cstheme="minorBidi"/>
          <w:sz w:val="22"/>
          <w:szCs w:val="22"/>
          <w:rtl/>
          <w:lang w:bidi="he-IL"/>
        </w:rPr>
        <w:t xml:space="preserve">; </w:t>
      </w:r>
      <w:r w:rsidR="00BF4F77" w:rsidRPr="00CD7A85">
        <w:rPr>
          <w:rFonts w:asciiTheme="minorBidi" w:hAnsiTheme="minorBidi" w:cstheme="minorBidi"/>
          <w:sz w:val="22"/>
          <w:szCs w:val="22"/>
          <w:rtl/>
          <w:lang w:bidi="he-IL"/>
        </w:rPr>
        <w:t xml:space="preserve">כך לפי נתוני משרד העבודה </w:t>
      </w:r>
      <w:r w:rsidR="00D92E90" w:rsidRPr="00CD7A85">
        <w:rPr>
          <w:rFonts w:asciiTheme="minorBidi" w:hAnsiTheme="minorBidi" w:cstheme="minorBidi"/>
          <w:sz w:val="22"/>
          <w:szCs w:val="22"/>
          <w:u w:val="single"/>
          <w:rtl/>
          <w:lang w:bidi="he-IL"/>
        </w:rPr>
        <w:t>ב</w:t>
      </w:r>
      <w:r w:rsidR="00E32660" w:rsidRPr="00CD7A85">
        <w:rPr>
          <w:rFonts w:asciiTheme="minorBidi" w:hAnsiTheme="minorBidi" w:cstheme="minorBidi"/>
          <w:sz w:val="22"/>
          <w:szCs w:val="22"/>
          <w:u w:val="single"/>
          <w:rtl/>
          <w:lang w:bidi="he-IL"/>
        </w:rPr>
        <w:t>כל</w:t>
      </w:r>
      <w:r w:rsidR="00E32660" w:rsidRPr="00CD7A85">
        <w:rPr>
          <w:rFonts w:asciiTheme="minorBidi" w:hAnsiTheme="minorBidi" w:cstheme="minorBidi"/>
          <w:sz w:val="22"/>
          <w:szCs w:val="22"/>
          <w:rtl/>
          <w:lang w:bidi="he-IL"/>
        </w:rPr>
        <w:t xml:space="preserve"> </w:t>
      </w:r>
      <w:r w:rsidR="00D92E90" w:rsidRPr="00CD7A85">
        <w:rPr>
          <w:rFonts w:asciiTheme="minorBidi" w:hAnsiTheme="minorBidi" w:cstheme="minorBidi"/>
          <w:sz w:val="22"/>
          <w:szCs w:val="22"/>
          <w:rtl/>
          <w:lang w:bidi="he-IL"/>
        </w:rPr>
        <w:t>שנת 2018 נהרגו</w:t>
      </w:r>
      <w:r w:rsidR="00D74384" w:rsidRPr="00CD7A85">
        <w:rPr>
          <w:rFonts w:asciiTheme="minorBidi" w:hAnsiTheme="minorBidi" w:cstheme="minorBidi"/>
          <w:sz w:val="22"/>
          <w:szCs w:val="22"/>
          <w:rtl/>
          <w:lang w:bidi="he-IL"/>
        </w:rPr>
        <w:t xml:space="preserve"> בתאונות עבודה</w:t>
      </w:r>
      <w:r w:rsidR="00D92E90" w:rsidRPr="00CD7A85">
        <w:rPr>
          <w:rFonts w:asciiTheme="minorBidi" w:hAnsiTheme="minorBidi" w:cstheme="minorBidi"/>
          <w:sz w:val="22"/>
          <w:szCs w:val="22"/>
          <w:rtl/>
          <w:lang w:bidi="he-IL"/>
        </w:rPr>
        <w:t xml:space="preserve"> </w:t>
      </w:r>
      <w:r w:rsidR="009E4CFB" w:rsidRPr="00CD7A85">
        <w:rPr>
          <w:rFonts w:asciiTheme="minorBidi" w:hAnsiTheme="minorBidi" w:cstheme="minorBidi"/>
          <w:sz w:val="22"/>
          <w:szCs w:val="22"/>
          <w:rtl/>
          <w:lang w:bidi="he-IL"/>
        </w:rPr>
        <w:t>67</w:t>
      </w:r>
      <w:r w:rsidR="00D92E90" w:rsidRPr="00CD7A85">
        <w:rPr>
          <w:rFonts w:asciiTheme="minorBidi" w:hAnsiTheme="minorBidi" w:cstheme="minorBidi"/>
          <w:sz w:val="22"/>
          <w:szCs w:val="22"/>
          <w:rtl/>
          <w:lang w:bidi="he-IL"/>
        </w:rPr>
        <w:t xml:space="preserve"> עובדים</w:t>
      </w:r>
      <w:r w:rsidR="009E4CFB" w:rsidRPr="00CD7A85">
        <w:rPr>
          <w:rFonts w:asciiTheme="minorBidi" w:hAnsiTheme="minorBidi" w:cstheme="minorBidi"/>
          <w:sz w:val="22"/>
          <w:szCs w:val="22"/>
          <w:rtl/>
          <w:lang w:bidi="he-IL"/>
        </w:rPr>
        <w:t xml:space="preserve"> ו-3 עוברי אורח</w:t>
      </w:r>
      <w:r w:rsidR="00D92E90" w:rsidRPr="00CD7A85">
        <w:rPr>
          <w:rFonts w:asciiTheme="minorBidi" w:hAnsiTheme="minorBidi" w:cstheme="minorBidi"/>
          <w:sz w:val="22"/>
          <w:szCs w:val="22"/>
          <w:rtl/>
          <w:lang w:bidi="he-IL"/>
        </w:rPr>
        <w:t xml:space="preserve"> לעומת </w:t>
      </w:r>
      <w:r w:rsidR="003F37EC" w:rsidRPr="00CD7A85">
        <w:rPr>
          <w:rFonts w:asciiTheme="minorBidi" w:hAnsiTheme="minorBidi" w:cstheme="minorBidi"/>
          <w:sz w:val="22"/>
          <w:szCs w:val="22"/>
          <w:rtl/>
          <w:lang w:bidi="he-IL"/>
        </w:rPr>
        <w:t>59</w:t>
      </w:r>
      <w:r w:rsidR="00D92E90" w:rsidRPr="00CD7A85">
        <w:rPr>
          <w:rFonts w:asciiTheme="minorBidi" w:hAnsiTheme="minorBidi" w:cstheme="minorBidi"/>
          <w:sz w:val="22"/>
          <w:szCs w:val="22"/>
          <w:rtl/>
          <w:lang w:bidi="he-IL"/>
        </w:rPr>
        <w:t xml:space="preserve"> </w:t>
      </w:r>
      <w:r w:rsidR="009E4CFB" w:rsidRPr="00CD7A85">
        <w:rPr>
          <w:rFonts w:asciiTheme="minorBidi" w:hAnsiTheme="minorBidi" w:cstheme="minorBidi"/>
          <w:sz w:val="22"/>
          <w:szCs w:val="22"/>
          <w:rtl/>
          <w:lang w:bidi="he-IL"/>
        </w:rPr>
        <w:t xml:space="preserve">עובדים </w:t>
      </w:r>
      <w:r w:rsidR="00BF4F77" w:rsidRPr="00CD7A85">
        <w:rPr>
          <w:rFonts w:asciiTheme="minorBidi" w:hAnsiTheme="minorBidi" w:cstheme="minorBidi"/>
          <w:sz w:val="22"/>
          <w:szCs w:val="22"/>
          <w:rtl/>
          <w:lang w:bidi="he-IL"/>
        </w:rPr>
        <w:t xml:space="preserve">שנהרגו </w:t>
      </w:r>
      <w:r w:rsidR="00D92E90" w:rsidRPr="00CD7A85">
        <w:rPr>
          <w:rFonts w:asciiTheme="minorBidi" w:hAnsiTheme="minorBidi" w:cstheme="minorBidi"/>
          <w:sz w:val="22"/>
          <w:szCs w:val="22"/>
          <w:rtl/>
          <w:lang w:bidi="he-IL"/>
        </w:rPr>
        <w:t>ב2017</w:t>
      </w:r>
      <w:r w:rsidR="009E4CFB" w:rsidRPr="00CD7A85">
        <w:rPr>
          <w:rFonts w:asciiTheme="minorBidi" w:hAnsiTheme="minorBidi" w:cstheme="minorBidi"/>
          <w:sz w:val="22"/>
          <w:szCs w:val="22"/>
          <w:rtl/>
          <w:lang w:bidi="he-IL"/>
        </w:rPr>
        <w:t>.</w:t>
      </w:r>
      <w:r w:rsidR="00072950" w:rsidRPr="00CD7A85">
        <w:rPr>
          <w:rFonts w:asciiTheme="minorBidi" w:hAnsiTheme="minorBidi" w:cstheme="minorBidi"/>
          <w:sz w:val="22"/>
          <w:szCs w:val="22"/>
          <w:rtl/>
          <w:lang w:bidi="he-IL"/>
        </w:rPr>
        <w:t xml:space="preserve"> </w:t>
      </w:r>
      <w:r w:rsidR="00E32660" w:rsidRPr="00CD7A85">
        <w:rPr>
          <w:rFonts w:asciiTheme="minorBidi" w:hAnsiTheme="minorBidi" w:cstheme="minorBidi"/>
          <w:sz w:val="22"/>
          <w:szCs w:val="22"/>
          <w:rtl/>
          <w:lang w:bidi="he-IL"/>
        </w:rPr>
        <w:t xml:space="preserve">המציאות </w:t>
      </w:r>
      <w:r w:rsidR="000B7EA5" w:rsidRPr="00CD7A85">
        <w:rPr>
          <w:rFonts w:asciiTheme="minorBidi" w:hAnsiTheme="minorBidi" w:cstheme="minorBidi"/>
          <w:sz w:val="22"/>
          <w:szCs w:val="22"/>
          <w:rtl/>
          <w:lang w:bidi="he-IL"/>
        </w:rPr>
        <w:t xml:space="preserve">הירודה </w:t>
      </w:r>
      <w:r w:rsidR="00E32660" w:rsidRPr="00CD7A85">
        <w:rPr>
          <w:rFonts w:asciiTheme="minorBidi" w:hAnsiTheme="minorBidi" w:cstheme="minorBidi"/>
          <w:sz w:val="22"/>
          <w:szCs w:val="22"/>
          <w:rtl/>
          <w:lang w:bidi="he-IL"/>
        </w:rPr>
        <w:t>בתחום בטיחותם של העובדים בישראל, ה</w:t>
      </w:r>
      <w:r w:rsidR="000B7EA5" w:rsidRPr="00CD7A85">
        <w:rPr>
          <w:rFonts w:asciiTheme="minorBidi" w:hAnsiTheme="minorBidi" w:cstheme="minorBidi"/>
          <w:sz w:val="22"/>
          <w:szCs w:val="22"/>
          <w:rtl/>
          <w:lang w:bidi="he-IL"/>
        </w:rPr>
        <w:t>יא תוצר מחדלן של רש</w:t>
      </w:r>
      <w:r w:rsidR="00302EEB" w:rsidRPr="00CD7A85">
        <w:rPr>
          <w:rFonts w:asciiTheme="minorBidi" w:hAnsiTheme="minorBidi" w:cstheme="minorBidi"/>
          <w:sz w:val="22"/>
          <w:szCs w:val="22"/>
          <w:rtl/>
          <w:lang w:bidi="he-IL"/>
        </w:rPr>
        <w:t>ויות המדינה ובראשן משרד העבודה. אי ביצוען של החלטות שהתקבלו ואי קידום</w:t>
      </w:r>
      <w:r w:rsidR="004C460F" w:rsidRPr="00CD7A85">
        <w:rPr>
          <w:rFonts w:asciiTheme="minorBidi" w:hAnsiTheme="minorBidi" w:cstheme="minorBidi"/>
          <w:sz w:val="22"/>
          <w:szCs w:val="22"/>
          <w:rtl/>
          <w:lang w:bidi="he-IL"/>
        </w:rPr>
        <w:t xml:space="preserve"> פתרונות ו</w:t>
      </w:r>
      <w:r w:rsidR="000B7EA5" w:rsidRPr="00CD7A85">
        <w:rPr>
          <w:rFonts w:asciiTheme="minorBidi" w:hAnsiTheme="minorBidi" w:cstheme="minorBidi"/>
          <w:sz w:val="22"/>
          <w:szCs w:val="22"/>
          <w:rtl/>
          <w:lang w:bidi="he-IL"/>
        </w:rPr>
        <w:t>המלצות של ועדות מקצ</w:t>
      </w:r>
      <w:r w:rsidR="00302EEB" w:rsidRPr="00CD7A85">
        <w:rPr>
          <w:rFonts w:asciiTheme="minorBidi" w:hAnsiTheme="minorBidi" w:cstheme="minorBidi"/>
          <w:sz w:val="22"/>
          <w:szCs w:val="22"/>
          <w:rtl/>
          <w:lang w:bidi="he-IL"/>
        </w:rPr>
        <w:t xml:space="preserve">ועיות שעסקו בנושא זה מלפני שנים מהווה מרכיב מרכזי במצב העגום שלפנינו ואי לכך ולעובדה שעובדים משלמים בחייהם על ההפקרות בתחום </w:t>
      </w:r>
      <w:r w:rsidR="00302EEB" w:rsidRPr="00CD7A85">
        <w:rPr>
          <w:rFonts w:asciiTheme="minorBidi" w:hAnsiTheme="minorBidi" w:cstheme="minorBidi"/>
          <w:b/>
          <w:bCs/>
          <w:sz w:val="22"/>
          <w:szCs w:val="22"/>
          <w:u w:val="single"/>
          <w:rtl/>
          <w:lang w:bidi="he-IL"/>
        </w:rPr>
        <w:t xml:space="preserve">ברצוננו לשים דגש מרכזי על המלצתה של וועדת אדם שעסקה בנושא – הצורך בהקמת רשות לאומית לבטיחות ולבריאות תעסוקתית שתסייע בעיגום משאבים, וטיפול ממוקד בנושא. </w:t>
      </w:r>
    </w:p>
    <w:p w14:paraId="09618EB5" w14:textId="77777777" w:rsidR="008F55B9" w:rsidRPr="00CD7A85" w:rsidRDefault="008F55B9" w:rsidP="0041535C">
      <w:pPr>
        <w:bidi/>
        <w:spacing w:after="120" w:line="360" w:lineRule="auto"/>
        <w:jc w:val="both"/>
        <w:rPr>
          <w:rFonts w:asciiTheme="minorBidi" w:hAnsiTheme="minorBidi" w:cstheme="minorBidi"/>
          <w:sz w:val="22"/>
          <w:szCs w:val="22"/>
          <w:rtl/>
          <w:lang w:bidi="he-IL"/>
        </w:rPr>
      </w:pPr>
      <w:r w:rsidRPr="00CD7A85">
        <w:rPr>
          <w:rFonts w:asciiTheme="minorBidi" w:hAnsiTheme="minorBidi" w:cstheme="minorBidi"/>
          <w:sz w:val="22"/>
          <w:szCs w:val="22"/>
          <w:u w:val="single"/>
          <w:rtl/>
          <w:lang w:bidi="he-IL"/>
        </w:rPr>
        <w:t xml:space="preserve">להלן מספר המלצות מרכזיות </w:t>
      </w:r>
      <w:r w:rsidR="002A06FF" w:rsidRPr="00CD7A85">
        <w:rPr>
          <w:rFonts w:asciiTheme="minorBidi" w:hAnsiTheme="minorBidi" w:cstheme="minorBidi"/>
          <w:sz w:val="22"/>
          <w:szCs w:val="22"/>
          <w:u w:val="single"/>
          <w:rtl/>
          <w:lang w:bidi="he-IL"/>
        </w:rPr>
        <w:t xml:space="preserve">שעל הרשויות לאמץ לשם קידום בטיחותם של כלל העובדים </w:t>
      </w:r>
      <w:r w:rsidRPr="00CD7A85">
        <w:rPr>
          <w:rFonts w:asciiTheme="minorBidi" w:hAnsiTheme="minorBidi" w:cstheme="minorBidi"/>
          <w:sz w:val="22"/>
          <w:szCs w:val="22"/>
          <w:u w:val="single"/>
          <w:rtl/>
          <w:lang w:bidi="he-IL"/>
        </w:rPr>
        <w:t>בשוק העבודה הישראלי</w:t>
      </w:r>
      <w:r w:rsidRPr="00CD7A85">
        <w:rPr>
          <w:rFonts w:asciiTheme="minorBidi" w:hAnsiTheme="minorBidi" w:cstheme="minorBidi"/>
          <w:sz w:val="22"/>
          <w:szCs w:val="22"/>
          <w:rtl/>
          <w:lang w:bidi="he-IL"/>
        </w:rPr>
        <w:t>:</w:t>
      </w:r>
    </w:p>
    <w:p w14:paraId="37DD87A4" w14:textId="75807B06" w:rsidR="008F55B9" w:rsidRPr="00CD7A85" w:rsidRDefault="00CD7A85" w:rsidP="00CD7A85">
      <w:pPr>
        <w:pStyle w:val="ListParagraph"/>
        <w:numPr>
          <w:ilvl w:val="0"/>
          <w:numId w:val="36"/>
        </w:numPr>
        <w:bidi/>
        <w:spacing w:after="120" w:line="360" w:lineRule="auto"/>
        <w:ind w:left="360"/>
        <w:contextualSpacing w:val="0"/>
        <w:jc w:val="both"/>
        <w:rPr>
          <w:rFonts w:asciiTheme="minorBidi" w:hAnsiTheme="minorBidi" w:cstheme="minorBidi"/>
          <w:sz w:val="22"/>
          <w:szCs w:val="22"/>
          <w:lang w:bidi="he-IL"/>
        </w:rPr>
      </w:pPr>
      <w:r w:rsidRPr="00CD7A85">
        <w:rPr>
          <w:rFonts w:asciiTheme="minorBidi" w:hAnsiTheme="minorBidi" w:cstheme="minorBidi"/>
          <w:b/>
          <w:bCs/>
          <w:sz w:val="22"/>
          <w:szCs w:val="22"/>
          <w:rtl/>
          <w:lang w:bidi="he-IL"/>
        </w:rPr>
        <w:t xml:space="preserve">אימוץ מסקנות וועדת אדם - </w:t>
      </w:r>
      <w:r w:rsidR="002F0452" w:rsidRPr="00CD7A85">
        <w:rPr>
          <w:rFonts w:asciiTheme="minorBidi" w:hAnsiTheme="minorBidi" w:cstheme="minorBidi"/>
          <w:b/>
          <w:bCs/>
          <w:sz w:val="22"/>
          <w:szCs w:val="22"/>
          <w:rtl/>
          <w:lang w:bidi="he-IL"/>
        </w:rPr>
        <w:t>הקמת רשות לאומית לבטיחות ולבריאות תעסוקתית</w:t>
      </w:r>
      <w:r w:rsidR="00DA7BBC" w:rsidRPr="00CD7A85">
        <w:rPr>
          <w:rFonts w:asciiTheme="minorBidi" w:hAnsiTheme="minorBidi" w:cstheme="minorBidi"/>
          <w:b/>
          <w:bCs/>
          <w:sz w:val="22"/>
          <w:szCs w:val="22"/>
          <w:rtl/>
          <w:lang w:bidi="he-IL"/>
        </w:rPr>
        <w:t xml:space="preserve"> </w:t>
      </w:r>
      <w:r w:rsidR="002F0452" w:rsidRPr="00CD7A85">
        <w:rPr>
          <w:rFonts w:asciiTheme="minorBidi" w:hAnsiTheme="minorBidi" w:cstheme="minorBidi"/>
          <w:sz w:val="22"/>
          <w:szCs w:val="22"/>
          <w:rtl/>
          <w:lang w:bidi="he-IL"/>
        </w:rPr>
        <w:t>–</w:t>
      </w:r>
      <w:r w:rsidR="003C74DA" w:rsidRPr="00CD7A85">
        <w:rPr>
          <w:rFonts w:asciiTheme="minorBidi" w:hAnsiTheme="minorBidi" w:cstheme="minorBidi"/>
          <w:sz w:val="22"/>
          <w:szCs w:val="22"/>
          <w:rtl/>
          <w:lang w:bidi="he-IL"/>
        </w:rPr>
        <w:t xml:space="preserve"> </w:t>
      </w:r>
      <w:r w:rsidR="00302EEB" w:rsidRPr="00CD7A85">
        <w:rPr>
          <w:rFonts w:asciiTheme="minorBidi" w:hAnsiTheme="minorBidi" w:cstheme="minorBidi"/>
          <w:sz w:val="22"/>
          <w:szCs w:val="22"/>
          <w:rtl/>
          <w:lang w:bidi="he-IL"/>
        </w:rPr>
        <w:t>באפריל 2014 הגישה וועדת אדם שעסקה בנושא הבטיחות בעבודה את ממצאיה למשרדי הממשלה – המלצה מרכזית הייתה הקמת רשות לאומית לבטיחות ולבריאות תעסוקתית</w:t>
      </w:r>
      <w:r w:rsidR="00F0181C" w:rsidRPr="00CD7A85">
        <w:rPr>
          <w:rFonts w:asciiTheme="minorBidi" w:hAnsiTheme="minorBidi" w:cstheme="minorBidi"/>
          <w:sz w:val="22"/>
          <w:szCs w:val="22"/>
          <w:rtl/>
          <w:lang w:bidi="he-IL"/>
        </w:rPr>
        <w:t xml:space="preserve">, ההמלצה טרם קודמה. המלצה זו ניתנה </w:t>
      </w:r>
      <w:r w:rsidR="00302EEB" w:rsidRPr="00CD7A85">
        <w:rPr>
          <w:rFonts w:asciiTheme="minorBidi" w:hAnsiTheme="minorBidi" w:cstheme="minorBidi"/>
          <w:sz w:val="22"/>
          <w:szCs w:val="22"/>
          <w:rtl/>
          <w:lang w:bidi="he-IL"/>
        </w:rPr>
        <w:t xml:space="preserve">לאור העובדה כי כיום </w:t>
      </w:r>
      <w:r w:rsidR="005E25F7" w:rsidRPr="00CD7A85">
        <w:rPr>
          <w:rFonts w:asciiTheme="minorBidi" w:hAnsiTheme="minorBidi" w:cstheme="minorBidi"/>
          <w:sz w:val="22"/>
          <w:szCs w:val="22"/>
          <w:rtl/>
          <w:lang w:bidi="he-IL"/>
        </w:rPr>
        <w:t>אין</w:t>
      </w:r>
      <w:r w:rsidR="00DA7BBC" w:rsidRPr="00CD7A85">
        <w:rPr>
          <w:rFonts w:asciiTheme="minorBidi" w:hAnsiTheme="minorBidi" w:cstheme="minorBidi"/>
          <w:sz w:val="22"/>
          <w:szCs w:val="22"/>
          <w:rtl/>
          <w:lang w:bidi="he-IL"/>
        </w:rPr>
        <w:t xml:space="preserve"> </w:t>
      </w:r>
      <w:r w:rsidR="005E25F7" w:rsidRPr="00CD7A85">
        <w:rPr>
          <w:rFonts w:asciiTheme="minorBidi" w:hAnsiTheme="minorBidi" w:cstheme="minorBidi"/>
          <w:sz w:val="22"/>
          <w:szCs w:val="22"/>
          <w:rtl/>
          <w:lang w:bidi="he-IL"/>
        </w:rPr>
        <w:t xml:space="preserve">במדינה גוף מרכזי הקובע מדיניות </w:t>
      </w:r>
      <w:r w:rsidR="005E25F7" w:rsidRPr="00CD7A85">
        <w:rPr>
          <w:rFonts w:asciiTheme="minorBidi" w:hAnsiTheme="minorBidi" w:cstheme="minorBidi"/>
          <w:sz w:val="22"/>
          <w:szCs w:val="22"/>
          <w:u w:val="single"/>
          <w:rtl/>
          <w:lang w:bidi="he-IL"/>
        </w:rPr>
        <w:t>כוללת</w:t>
      </w:r>
      <w:r w:rsidR="005E25F7" w:rsidRPr="00CD7A85">
        <w:rPr>
          <w:rFonts w:asciiTheme="minorBidi" w:hAnsiTheme="minorBidi" w:cstheme="minorBidi"/>
          <w:sz w:val="22"/>
          <w:szCs w:val="22"/>
          <w:rtl/>
          <w:lang w:bidi="he-IL"/>
        </w:rPr>
        <w:t xml:space="preserve"> בתחום</w:t>
      </w:r>
      <w:r w:rsidR="00DA7BBC" w:rsidRPr="00CD7A85">
        <w:rPr>
          <w:rFonts w:asciiTheme="minorBidi" w:hAnsiTheme="minorBidi" w:cstheme="minorBidi"/>
          <w:sz w:val="22"/>
          <w:szCs w:val="22"/>
          <w:rtl/>
          <w:lang w:bidi="he-IL"/>
        </w:rPr>
        <w:t xml:space="preserve"> הבטיחות בעבודה</w:t>
      </w:r>
      <w:r w:rsidR="00915C12" w:rsidRPr="00CD7A85">
        <w:rPr>
          <w:rFonts w:asciiTheme="minorBidi" w:hAnsiTheme="minorBidi" w:cstheme="minorBidi"/>
          <w:sz w:val="22"/>
          <w:szCs w:val="22"/>
          <w:rtl/>
          <w:lang w:bidi="he-IL"/>
        </w:rPr>
        <w:t>, המנהל מאגר מידע לאומי רלוונטי לתחום</w:t>
      </w:r>
      <w:r w:rsidR="00A42717" w:rsidRPr="00CD7A85">
        <w:rPr>
          <w:rFonts w:asciiTheme="minorBidi" w:hAnsiTheme="minorBidi" w:cstheme="minorBidi"/>
          <w:sz w:val="22"/>
          <w:szCs w:val="22"/>
          <w:rtl/>
          <w:lang w:bidi="he-IL"/>
        </w:rPr>
        <w:t>,</w:t>
      </w:r>
      <w:r w:rsidR="005E25F7" w:rsidRPr="00CD7A85">
        <w:rPr>
          <w:rFonts w:asciiTheme="minorBidi" w:hAnsiTheme="minorBidi" w:cstheme="minorBidi"/>
          <w:sz w:val="22"/>
          <w:szCs w:val="22"/>
          <w:rtl/>
          <w:lang w:bidi="he-IL"/>
        </w:rPr>
        <w:t xml:space="preserve"> </w:t>
      </w:r>
      <w:r w:rsidR="00DA7BBC" w:rsidRPr="00CD7A85">
        <w:rPr>
          <w:rFonts w:asciiTheme="minorBidi" w:hAnsiTheme="minorBidi" w:cstheme="minorBidi"/>
          <w:sz w:val="22"/>
          <w:szCs w:val="22"/>
          <w:rtl/>
          <w:lang w:bidi="he-IL"/>
        </w:rPr>
        <w:t>ו</w:t>
      </w:r>
      <w:r w:rsidR="005E25F7" w:rsidRPr="00CD7A85">
        <w:rPr>
          <w:rFonts w:asciiTheme="minorBidi" w:hAnsiTheme="minorBidi" w:cstheme="minorBidi"/>
          <w:sz w:val="22"/>
          <w:szCs w:val="22"/>
          <w:rtl/>
          <w:lang w:bidi="he-IL"/>
        </w:rPr>
        <w:t xml:space="preserve">מתאם את הפעילויות השונות ברמה ממלכתית בין הגופים השונים. </w:t>
      </w:r>
      <w:r w:rsidR="00302EEB" w:rsidRPr="00CD7A85">
        <w:rPr>
          <w:rFonts w:asciiTheme="minorBidi" w:hAnsiTheme="minorBidi" w:cstheme="minorBidi"/>
          <w:sz w:val="22"/>
          <w:szCs w:val="22"/>
          <w:rtl/>
          <w:lang w:bidi="he-IL"/>
        </w:rPr>
        <w:t xml:space="preserve">אי לכך משאבים רבים מבוזבזים שלא לצורך, ויש מחסור ביד מכוונת ומדיניות מרכזית בתחום המשותפת לכל הגופים הרלוונטים. כיום קיימים שני גופים עיקריים בתחום: מנהל הבטיחות במשרד העבודה שהינו הרגולטור, המפקח והאוכף, </w:t>
      </w:r>
      <w:r w:rsidR="005E25F7" w:rsidRPr="00CD7A85">
        <w:rPr>
          <w:rFonts w:asciiTheme="minorBidi" w:hAnsiTheme="minorBidi" w:cstheme="minorBidi"/>
          <w:sz w:val="22"/>
          <w:szCs w:val="22"/>
          <w:rtl/>
          <w:lang w:bidi="he-IL"/>
        </w:rPr>
        <w:t xml:space="preserve">והמוסד לבטיחות ולגהות </w:t>
      </w:r>
      <w:r w:rsidR="00180EAE">
        <w:rPr>
          <w:rFonts w:asciiTheme="minorBidi" w:hAnsiTheme="minorBidi" w:cstheme="minorBidi" w:hint="cs"/>
          <w:sz w:val="22"/>
          <w:szCs w:val="22"/>
          <w:rtl/>
          <w:lang w:bidi="he-IL"/>
        </w:rPr>
        <w:t>ש</w:t>
      </w:r>
      <w:r w:rsidR="005E25F7" w:rsidRPr="00CD7A85">
        <w:rPr>
          <w:rFonts w:asciiTheme="minorBidi" w:hAnsiTheme="minorBidi" w:cstheme="minorBidi"/>
          <w:sz w:val="22"/>
          <w:szCs w:val="22"/>
          <w:rtl/>
          <w:lang w:bidi="he-IL"/>
        </w:rPr>
        <w:t>מופקד על ההסברה</w:t>
      </w:r>
      <w:r w:rsidR="00180EAE">
        <w:rPr>
          <w:rFonts w:asciiTheme="minorBidi" w:hAnsiTheme="minorBidi" w:cstheme="minorBidi" w:hint="cs"/>
          <w:sz w:val="22"/>
          <w:szCs w:val="22"/>
          <w:rtl/>
          <w:lang w:bidi="he-IL"/>
        </w:rPr>
        <w:t>,</w:t>
      </w:r>
      <w:r w:rsidR="005E25F7" w:rsidRPr="00CD7A85">
        <w:rPr>
          <w:rFonts w:asciiTheme="minorBidi" w:hAnsiTheme="minorBidi" w:cstheme="minorBidi"/>
          <w:sz w:val="22"/>
          <w:szCs w:val="22"/>
          <w:rtl/>
          <w:lang w:bidi="he-IL"/>
        </w:rPr>
        <w:t xml:space="preserve"> ההדרכה והכשרת כח אדם</w:t>
      </w:r>
      <w:r w:rsidR="00302EEB" w:rsidRPr="00CD7A85">
        <w:rPr>
          <w:rFonts w:asciiTheme="minorBidi" w:hAnsiTheme="minorBidi" w:cstheme="minorBidi"/>
          <w:sz w:val="22"/>
          <w:szCs w:val="22"/>
          <w:rtl/>
          <w:lang w:bidi="he-IL"/>
        </w:rPr>
        <w:t xml:space="preserve">. איחוד בין השניים יביא לריכוז משאבים, הגדלת היעילות וביטול כפילויות ופתרון ולו חלקי של המחסור במפקחים בישראל. </w:t>
      </w:r>
      <w:r w:rsidR="00DA7BBC" w:rsidRPr="00CD7A85">
        <w:rPr>
          <w:rFonts w:asciiTheme="minorBidi" w:hAnsiTheme="minorBidi" w:cstheme="minorBidi"/>
          <w:sz w:val="22"/>
          <w:szCs w:val="22"/>
          <w:rtl/>
          <w:lang w:bidi="he-IL"/>
        </w:rPr>
        <w:t>הרשות תכלול תחת קורת גג אחת: זרוע אכיפה, זרוע מניעה ומרכז למחקר ולניהול ידע בתחום</w:t>
      </w:r>
      <w:r w:rsidR="00DA7BBC" w:rsidRPr="00CD7A85">
        <w:rPr>
          <w:rFonts w:asciiTheme="minorBidi" w:hAnsiTheme="minorBidi" w:cstheme="minorBidi"/>
          <w:sz w:val="22"/>
          <w:szCs w:val="22"/>
          <w:lang w:bidi="he-IL"/>
        </w:rPr>
        <w:t>.</w:t>
      </w:r>
      <w:r w:rsidR="005E25F7" w:rsidRPr="00CD7A85">
        <w:rPr>
          <w:rFonts w:asciiTheme="minorBidi" w:hAnsiTheme="minorBidi" w:cstheme="minorBidi"/>
          <w:sz w:val="22"/>
          <w:szCs w:val="22"/>
          <w:rtl/>
          <w:lang w:bidi="he-IL"/>
        </w:rPr>
        <w:t xml:space="preserve"> </w:t>
      </w:r>
      <w:r w:rsidR="00F0181C" w:rsidRPr="00CD7A85">
        <w:rPr>
          <w:rFonts w:asciiTheme="minorBidi" w:hAnsiTheme="minorBidi" w:cstheme="minorBidi"/>
          <w:sz w:val="22"/>
          <w:szCs w:val="22"/>
          <w:u w:val="single"/>
          <w:rtl/>
          <w:lang w:bidi="he-IL"/>
        </w:rPr>
        <w:t xml:space="preserve">כאמור, המלצה </w:t>
      </w:r>
      <w:r w:rsidR="00302EEB" w:rsidRPr="00CD7A85">
        <w:rPr>
          <w:rFonts w:asciiTheme="minorBidi" w:hAnsiTheme="minorBidi" w:cstheme="minorBidi"/>
          <w:sz w:val="22"/>
          <w:szCs w:val="22"/>
          <w:u w:val="single"/>
          <w:rtl/>
          <w:lang w:bidi="he-IL"/>
        </w:rPr>
        <w:t xml:space="preserve">מרכזית זו של הוועדה לא קודמה מאז הגשתה, לאור המצב, על הממשלה לקדם זאת באופן מיידי. </w:t>
      </w:r>
      <w:r w:rsidR="00461A77" w:rsidRPr="00CD7A85">
        <w:rPr>
          <w:rFonts w:asciiTheme="minorBidi" w:hAnsiTheme="minorBidi" w:cstheme="minorBidi"/>
          <w:sz w:val="22"/>
          <w:szCs w:val="22"/>
          <w:rtl/>
          <w:lang w:bidi="he-IL"/>
        </w:rPr>
        <w:t>המלצה נוספת</w:t>
      </w:r>
      <w:r w:rsidRPr="00CD7A85">
        <w:rPr>
          <w:rFonts w:asciiTheme="minorBidi" w:hAnsiTheme="minorBidi" w:cstheme="minorBidi"/>
          <w:sz w:val="22"/>
          <w:szCs w:val="22"/>
          <w:rtl/>
          <w:lang w:bidi="he-IL"/>
        </w:rPr>
        <w:t xml:space="preserve"> של וועדת אדם</w:t>
      </w:r>
      <w:r w:rsidR="00461A77" w:rsidRPr="00CD7A85">
        <w:rPr>
          <w:rFonts w:asciiTheme="minorBidi" w:hAnsiTheme="minorBidi" w:cstheme="minorBidi"/>
          <w:sz w:val="22"/>
          <w:szCs w:val="22"/>
          <w:rtl/>
          <w:lang w:bidi="he-IL"/>
        </w:rPr>
        <w:t xml:space="preserve"> שטרם אומצה כרוכה בחינוך, </w:t>
      </w:r>
      <w:r w:rsidRPr="00CD7A85">
        <w:rPr>
          <w:rFonts w:asciiTheme="minorBidi" w:hAnsiTheme="minorBidi" w:cstheme="minorBidi"/>
          <w:sz w:val="22"/>
          <w:szCs w:val="22"/>
          <w:rtl/>
          <w:lang w:bidi="he-IL"/>
        </w:rPr>
        <w:t>והרחבת והעמקת ה</w:t>
      </w:r>
      <w:r w:rsidR="00461A77" w:rsidRPr="00CD7A85">
        <w:rPr>
          <w:rFonts w:asciiTheme="minorBidi" w:hAnsiTheme="minorBidi" w:cstheme="minorBidi"/>
          <w:sz w:val="22"/>
          <w:szCs w:val="22"/>
          <w:rtl/>
          <w:lang w:bidi="he-IL"/>
        </w:rPr>
        <w:t>הסברה וה</w:t>
      </w:r>
      <w:r w:rsidR="00180EAE">
        <w:rPr>
          <w:rFonts w:asciiTheme="minorBidi" w:hAnsiTheme="minorBidi" w:cstheme="minorBidi" w:hint="cs"/>
          <w:sz w:val="22"/>
          <w:szCs w:val="22"/>
          <w:rtl/>
          <w:lang w:bidi="he-IL"/>
        </w:rPr>
        <w:t>ה</w:t>
      </w:r>
      <w:r w:rsidR="00461A77" w:rsidRPr="00CD7A85">
        <w:rPr>
          <w:rFonts w:asciiTheme="minorBidi" w:hAnsiTheme="minorBidi" w:cstheme="minorBidi"/>
          <w:sz w:val="22"/>
          <w:szCs w:val="22"/>
          <w:rtl/>
          <w:lang w:bidi="he-IL"/>
        </w:rPr>
        <w:t xml:space="preserve">כשרות </w:t>
      </w:r>
      <w:r w:rsidR="00180EAE">
        <w:rPr>
          <w:rFonts w:asciiTheme="minorBidi" w:hAnsiTheme="minorBidi" w:cstheme="minorBidi" w:hint="cs"/>
          <w:sz w:val="22"/>
          <w:szCs w:val="22"/>
          <w:rtl/>
          <w:lang w:bidi="he-IL"/>
        </w:rPr>
        <w:t>ה</w:t>
      </w:r>
      <w:r w:rsidR="00461A77" w:rsidRPr="00CD7A85">
        <w:rPr>
          <w:rFonts w:asciiTheme="minorBidi" w:hAnsiTheme="minorBidi" w:cstheme="minorBidi"/>
          <w:sz w:val="22"/>
          <w:szCs w:val="22"/>
          <w:rtl/>
          <w:lang w:bidi="he-IL"/>
        </w:rPr>
        <w:t xml:space="preserve">מקצועיות – </w:t>
      </w:r>
      <w:r w:rsidRPr="00CD7A85">
        <w:rPr>
          <w:rFonts w:asciiTheme="minorBidi" w:hAnsiTheme="minorBidi" w:cstheme="minorBidi"/>
          <w:sz w:val="22"/>
          <w:szCs w:val="22"/>
          <w:rtl/>
          <w:lang w:bidi="he-IL"/>
        </w:rPr>
        <w:t>נתוני דו"ח זה מראים</w:t>
      </w:r>
      <w:r w:rsidRPr="00CD7A85">
        <w:rPr>
          <w:rFonts w:asciiTheme="minorBidi" w:hAnsiTheme="minorBidi" w:cstheme="minorBidi"/>
          <w:b/>
          <w:bCs/>
          <w:sz w:val="22"/>
          <w:szCs w:val="22"/>
          <w:rtl/>
          <w:lang w:bidi="he-IL"/>
        </w:rPr>
        <w:t xml:space="preserve"> </w:t>
      </w:r>
      <w:r w:rsidR="00461A77" w:rsidRPr="00CD7A85">
        <w:rPr>
          <w:rFonts w:asciiTheme="minorBidi" w:hAnsiTheme="minorBidi" w:cstheme="minorBidi"/>
          <w:b/>
          <w:bCs/>
          <w:sz w:val="22"/>
          <w:szCs w:val="22"/>
          <w:rtl/>
          <w:lang w:bidi="he-IL"/>
        </w:rPr>
        <w:t xml:space="preserve">כי </w:t>
      </w:r>
      <w:r w:rsidR="00461A77" w:rsidRPr="00CD7A85">
        <w:rPr>
          <w:rFonts w:asciiTheme="minorBidi" w:hAnsiTheme="minorBidi" w:cstheme="minorBidi"/>
          <w:sz w:val="22"/>
          <w:szCs w:val="22"/>
          <w:rtl/>
          <w:lang w:bidi="he-IL"/>
        </w:rPr>
        <w:t xml:space="preserve">חלק מתאונות העבודה מתרחשות במקומות עבודה ובסוג עסקים שאינן תחת זרועו הפיקוחית של מינהל הבטיחות במשרד העבודה. מנהל הבטיחות מפקח על כ-70 אלף מקומות עבודה, בעוד שלפי נתוני הלשכה המרכזית לסטטיסטיקה, קיימים בישראל כ-600 אלף עסקים פעילים. </w:t>
      </w:r>
      <w:r w:rsidRPr="00CD7A85">
        <w:rPr>
          <w:rFonts w:asciiTheme="minorBidi" w:hAnsiTheme="minorBidi" w:cstheme="minorBidi"/>
          <w:sz w:val="22"/>
          <w:szCs w:val="22"/>
          <w:rtl/>
          <w:lang w:bidi="he-IL"/>
        </w:rPr>
        <w:t>אי לכך יש לחזק עד מאוד את פעילות ה</w:t>
      </w:r>
      <w:r w:rsidR="00461A77" w:rsidRPr="00CD7A85">
        <w:rPr>
          <w:rFonts w:asciiTheme="minorBidi" w:hAnsiTheme="minorBidi" w:cstheme="minorBidi"/>
          <w:sz w:val="22"/>
          <w:szCs w:val="22"/>
          <w:rtl/>
          <w:lang w:bidi="he-IL"/>
        </w:rPr>
        <w:t>חינוך ופעילות ההסברה</w:t>
      </w:r>
      <w:r w:rsidRPr="00CD7A85">
        <w:rPr>
          <w:rFonts w:asciiTheme="minorBidi" w:hAnsiTheme="minorBidi" w:cstheme="minorBidi"/>
          <w:sz w:val="22"/>
          <w:szCs w:val="22"/>
          <w:rtl/>
          <w:lang w:bidi="he-IL"/>
        </w:rPr>
        <w:t xml:space="preserve"> וההכשרה בתחום, </w:t>
      </w:r>
      <w:r w:rsidR="00461A77" w:rsidRPr="00CD7A85">
        <w:rPr>
          <w:rFonts w:asciiTheme="minorBidi" w:hAnsiTheme="minorBidi" w:cstheme="minorBidi"/>
          <w:sz w:val="22"/>
          <w:szCs w:val="22"/>
          <w:rtl/>
          <w:lang w:bidi="he-IL"/>
        </w:rPr>
        <w:t xml:space="preserve">לשם הנחלת ערכי הבטיחות בעבודה בקרב כלל המועסקים במשק. </w:t>
      </w:r>
    </w:p>
    <w:p w14:paraId="25F5F5B0" w14:textId="25602543" w:rsidR="002F6977" w:rsidRPr="00CD7A85" w:rsidRDefault="002F6977" w:rsidP="00F0181C">
      <w:pPr>
        <w:pStyle w:val="ListParagraph"/>
        <w:numPr>
          <w:ilvl w:val="0"/>
          <w:numId w:val="36"/>
        </w:numPr>
        <w:bidi/>
        <w:spacing w:after="120" w:line="360" w:lineRule="auto"/>
        <w:ind w:left="360"/>
        <w:contextualSpacing w:val="0"/>
        <w:jc w:val="both"/>
        <w:rPr>
          <w:rFonts w:asciiTheme="minorBidi" w:hAnsiTheme="minorBidi" w:cstheme="minorBidi"/>
          <w:sz w:val="22"/>
          <w:szCs w:val="22"/>
          <w:lang w:bidi="he-IL"/>
        </w:rPr>
      </w:pPr>
      <w:r w:rsidRPr="00CD7A85">
        <w:rPr>
          <w:rFonts w:asciiTheme="minorBidi" w:hAnsiTheme="minorBidi" w:cstheme="minorBidi"/>
          <w:b/>
          <w:bCs/>
          <w:sz w:val="22"/>
          <w:szCs w:val="22"/>
          <w:rtl/>
          <w:lang w:bidi="he-IL"/>
        </w:rPr>
        <w:t>קביעת תקינה לפיקוח כפי שנהוג במדינות מפותחות ב</w:t>
      </w:r>
      <w:r w:rsidRPr="00CD7A85">
        <w:rPr>
          <w:rFonts w:asciiTheme="minorBidi" w:hAnsiTheme="minorBidi" w:cstheme="minorBidi"/>
          <w:b/>
          <w:bCs/>
          <w:sz w:val="22"/>
          <w:szCs w:val="22"/>
          <w:lang w:bidi="he-IL"/>
        </w:rPr>
        <w:t>OECD</w:t>
      </w:r>
      <w:r w:rsidRPr="00CD7A85">
        <w:rPr>
          <w:rFonts w:asciiTheme="minorBidi" w:hAnsiTheme="minorBidi" w:cstheme="minorBidi"/>
          <w:sz w:val="22"/>
          <w:szCs w:val="22"/>
          <w:rtl/>
          <w:lang w:bidi="he-IL"/>
        </w:rPr>
        <w:t xml:space="preserve"> –</w:t>
      </w:r>
      <w:r w:rsidR="00F0181C" w:rsidRPr="00CD7A85">
        <w:rPr>
          <w:rFonts w:asciiTheme="minorBidi" w:hAnsiTheme="minorBidi" w:cstheme="minorBidi"/>
          <w:sz w:val="22"/>
          <w:szCs w:val="22"/>
          <w:rtl/>
          <w:lang w:bidi="he-IL"/>
        </w:rPr>
        <w:t xml:space="preserve"> מספר המפקחים על בטיחות העובדים אינו יכול להיות שרירותי, עליו להיות קבוע בחוק. נכון להיום בישראל אין מפתח לתקינת מספר מפקחי העבודה הנדרשים. לשם הדוגמא, </w:t>
      </w:r>
      <w:r w:rsidRPr="00CD7A85">
        <w:rPr>
          <w:rFonts w:asciiTheme="minorBidi" w:hAnsiTheme="minorBidi" w:cstheme="minorBidi"/>
          <w:sz w:val="22"/>
          <w:szCs w:val="22"/>
          <w:rtl/>
          <w:lang w:bidi="he-IL"/>
        </w:rPr>
        <w:t xml:space="preserve"> המפתח למספר מפקחי העבודה הדרושים לפי ארגון ה</w:t>
      </w:r>
      <w:r w:rsidRPr="00CD7A85">
        <w:rPr>
          <w:rFonts w:asciiTheme="minorBidi" w:hAnsiTheme="minorBidi" w:cstheme="minorBidi"/>
          <w:sz w:val="22"/>
          <w:szCs w:val="22"/>
          <w:lang w:bidi="he-IL"/>
        </w:rPr>
        <w:t>OECD</w:t>
      </w:r>
      <w:r w:rsidRPr="00CD7A85">
        <w:rPr>
          <w:rFonts w:asciiTheme="minorBidi" w:hAnsiTheme="minorBidi" w:cstheme="minorBidi"/>
          <w:sz w:val="22"/>
          <w:szCs w:val="22"/>
          <w:rtl/>
          <w:lang w:bidi="he-IL"/>
        </w:rPr>
        <w:t>, הוא מפקח לכל 10 אלף עובדים במדינות מפותחות, ומפקח לכל 20 אלף עובדים במדינות מתפתחות. בישראל הועסקו בשנת 2018, 3.993 מיליון</w:t>
      </w:r>
      <w:r w:rsidR="00F0181C" w:rsidRPr="00CD7A85">
        <w:rPr>
          <w:rFonts w:asciiTheme="minorBidi" w:hAnsiTheme="minorBidi" w:cstheme="minorBidi"/>
          <w:sz w:val="22"/>
          <w:szCs w:val="22"/>
          <w:rtl/>
          <w:lang w:bidi="he-IL"/>
        </w:rPr>
        <w:t xml:space="preserve"> עובדים</w:t>
      </w:r>
      <w:r w:rsidRPr="00CD7A85">
        <w:rPr>
          <w:rFonts w:asciiTheme="minorBidi" w:hAnsiTheme="minorBidi" w:cstheme="minorBidi"/>
          <w:sz w:val="22"/>
          <w:szCs w:val="22"/>
          <w:rtl/>
          <w:lang w:bidi="he-IL"/>
        </w:rPr>
        <w:t>, מכאן לפי מפתח ה-</w:t>
      </w:r>
      <w:r w:rsidRPr="00CD7A85">
        <w:rPr>
          <w:rFonts w:asciiTheme="minorBidi" w:hAnsiTheme="minorBidi" w:cstheme="minorBidi"/>
          <w:sz w:val="22"/>
          <w:szCs w:val="22"/>
          <w:lang w:bidi="he-IL"/>
        </w:rPr>
        <w:t>OECD</w:t>
      </w:r>
      <w:r w:rsidRPr="00CD7A85">
        <w:rPr>
          <w:rFonts w:asciiTheme="minorBidi" w:hAnsiTheme="minorBidi" w:cstheme="minorBidi"/>
          <w:sz w:val="22"/>
          <w:szCs w:val="22"/>
          <w:rtl/>
          <w:lang w:bidi="he-IL"/>
        </w:rPr>
        <w:t xml:space="preserve"> דרו</w:t>
      </w:r>
      <w:r w:rsidR="00F0181C" w:rsidRPr="00CD7A85">
        <w:rPr>
          <w:rFonts w:asciiTheme="minorBidi" w:hAnsiTheme="minorBidi" w:cstheme="minorBidi"/>
          <w:sz w:val="22"/>
          <w:szCs w:val="22"/>
          <w:rtl/>
          <w:lang w:bidi="he-IL"/>
        </w:rPr>
        <w:t>שים בין 200-400 מפקחי עבודה במינ</w:t>
      </w:r>
      <w:r w:rsidRPr="00CD7A85">
        <w:rPr>
          <w:rFonts w:asciiTheme="minorBidi" w:hAnsiTheme="minorBidi" w:cstheme="minorBidi"/>
          <w:sz w:val="22"/>
          <w:szCs w:val="22"/>
          <w:rtl/>
          <w:lang w:bidi="he-IL"/>
        </w:rPr>
        <w:t>הל הבטיחות</w:t>
      </w:r>
      <w:r w:rsidR="00F0181C" w:rsidRPr="00CD7A85">
        <w:rPr>
          <w:rFonts w:asciiTheme="minorBidi" w:hAnsiTheme="minorBidi" w:cstheme="minorBidi"/>
          <w:sz w:val="22"/>
          <w:szCs w:val="22"/>
          <w:rtl/>
          <w:lang w:bidi="he-IL"/>
        </w:rPr>
        <w:t xml:space="preserve">, זאת לעומת ה-70 הקיימים. </w:t>
      </w:r>
      <w:r w:rsidRPr="00CD7A85">
        <w:rPr>
          <w:rFonts w:asciiTheme="minorBidi" w:hAnsiTheme="minorBidi" w:cstheme="minorBidi"/>
          <w:sz w:val="22"/>
          <w:szCs w:val="22"/>
          <w:rtl/>
          <w:lang w:bidi="he-IL"/>
        </w:rPr>
        <w:t xml:space="preserve">בנובמבר 2018, במסגרת </w:t>
      </w:r>
      <w:r w:rsidRPr="00CD7A85">
        <w:rPr>
          <w:rFonts w:asciiTheme="minorBidi" w:hAnsiTheme="minorBidi" w:cstheme="minorBidi"/>
          <w:sz w:val="22"/>
          <w:szCs w:val="22"/>
          <w:rtl/>
          <w:lang w:bidi="he-IL"/>
        </w:rPr>
        <w:lastRenderedPageBreak/>
        <w:t xml:space="preserve">ההסכמות מול ההסתדרות סוכם על תוספת 60 תקנים למינהל לשם הגברת הפיקוח בענף הבניה. </w:t>
      </w:r>
      <w:r w:rsidR="00F0181C" w:rsidRPr="00CD7A85">
        <w:rPr>
          <w:rFonts w:asciiTheme="minorBidi" w:hAnsiTheme="minorBidi" w:cstheme="minorBidi"/>
          <w:sz w:val="22"/>
          <w:szCs w:val="22"/>
          <w:rtl/>
          <w:lang w:bidi="he-IL"/>
        </w:rPr>
        <w:t xml:space="preserve">כעת לא ידוע </w:t>
      </w:r>
      <w:r w:rsidRPr="00CD7A85">
        <w:rPr>
          <w:rFonts w:asciiTheme="minorBidi" w:hAnsiTheme="minorBidi" w:cstheme="minorBidi"/>
          <w:sz w:val="22"/>
          <w:szCs w:val="22"/>
          <w:rtl/>
          <w:lang w:bidi="he-IL"/>
        </w:rPr>
        <w:t>כמה מתוך 6</w:t>
      </w:r>
      <w:r w:rsidR="00F0181C" w:rsidRPr="00CD7A85">
        <w:rPr>
          <w:rFonts w:asciiTheme="minorBidi" w:hAnsiTheme="minorBidi" w:cstheme="minorBidi"/>
          <w:sz w:val="22"/>
          <w:szCs w:val="22"/>
          <w:rtl/>
          <w:lang w:bidi="he-IL"/>
        </w:rPr>
        <w:t xml:space="preserve">0 התקנים יוקצה עבור מפקחים. </w:t>
      </w:r>
      <w:r w:rsidRPr="00CD7A85">
        <w:rPr>
          <w:rFonts w:asciiTheme="minorBidi" w:hAnsiTheme="minorBidi" w:cstheme="minorBidi"/>
          <w:sz w:val="22"/>
          <w:szCs w:val="22"/>
          <w:rtl/>
          <w:lang w:bidi="he-IL"/>
        </w:rPr>
        <w:t>תוספת זו אינה כוללת הגברת הפיקוח בשאר הענפים, ועדין נופלת מהדרוש לפי ה</w:t>
      </w:r>
      <w:r w:rsidRPr="00CD7A85">
        <w:rPr>
          <w:rFonts w:asciiTheme="minorBidi" w:hAnsiTheme="minorBidi" w:cstheme="minorBidi"/>
          <w:sz w:val="22"/>
          <w:szCs w:val="22"/>
          <w:lang w:bidi="he-IL"/>
        </w:rPr>
        <w:t>OECD</w:t>
      </w:r>
      <w:r w:rsidRPr="00CD7A85">
        <w:rPr>
          <w:rFonts w:asciiTheme="minorBidi" w:hAnsiTheme="minorBidi" w:cstheme="minorBidi"/>
          <w:sz w:val="22"/>
          <w:szCs w:val="22"/>
          <w:rtl/>
          <w:lang w:bidi="he-IL"/>
        </w:rPr>
        <w:t>.</w:t>
      </w:r>
    </w:p>
    <w:p w14:paraId="48A969BB" w14:textId="5324F5CD" w:rsidR="008F55B9" w:rsidRPr="00CD7A85" w:rsidRDefault="002F0452" w:rsidP="0041535C">
      <w:pPr>
        <w:pStyle w:val="ListParagraph"/>
        <w:numPr>
          <w:ilvl w:val="0"/>
          <w:numId w:val="36"/>
        </w:numPr>
        <w:bidi/>
        <w:spacing w:after="120" w:line="360" w:lineRule="auto"/>
        <w:ind w:left="360"/>
        <w:contextualSpacing w:val="0"/>
        <w:jc w:val="both"/>
        <w:rPr>
          <w:rFonts w:asciiTheme="minorBidi" w:hAnsiTheme="minorBidi" w:cstheme="minorBidi"/>
          <w:sz w:val="22"/>
          <w:szCs w:val="22"/>
          <w:lang w:bidi="he-IL"/>
        </w:rPr>
      </w:pPr>
      <w:r w:rsidRPr="00CD7A85">
        <w:rPr>
          <w:rFonts w:asciiTheme="minorBidi" w:hAnsiTheme="minorBidi" w:cstheme="minorBidi"/>
          <w:b/>
          <w:bCs/>
          <w:sz w:val="22"/>
          <w:szCs w:val="22"/>
          <w:rtl/>
          <w:lang w:bidi="he-IL"/>
        </w:rPr>
        <w:t>ייש</w:t>
      </w:r>
      <w:r w:rsidR="00366EFC" w:rsidRPr="00CD7A85">
        <w:rPr>
          <w:rFonts w:asciiTheme="minorBidi" w:hAnsiTheme="minorBidi" w:cstheme="minorBidi"/>
          <w:b/>
          <w:bCs/>
          <w:sz w:val="22"/>
          <w:szCs w:val="22"/>
          <w:rtl/>
          <w:lang w:bidi="he-IL"/>
        </w:rPr>
        <w:t xml:space="preserve">ום וביצוע מיידי </w:t>
      </w:r>
      <w:r w:rsidR="00D74384" w:rsidRPr="00CD7A85">
        <w:rPr>
          <w:rFonts w:asciiTheme="minorBidi" w:hAnsiTheme="minorBidi" w:cstheme="minorBidi"/>
          <w:b/>
          <w:bCs/>
          <w:sz w:val="22"/>
          <w:szCs w:val="22"/>
          <w:rtl/>
          <w:lang w:bidi="he-IL"/>
        </w:rPr>
        <w:t>להתחייבויות</w:t>
      </w:r>
      <w:r w:rsidR="00366EFC" w:rsidRPr="00CD7A85">
        <w:rPr>
          <w:rFonts w:asciiTheme="minorBidi" w:hAnsiTheme="minorBidi" w:cstheme="minorBidi"/>
          <w:b/>
          <w:bCs/>
          <w:sz w:val="22"/>
          <w:szCs w:val="22"/>
          <w:rtl/>
          <w:lang w:bidi="he-IL"/>
        </w:rPr>
        <w:t xml:space="preserve"> משרדי הממשלה השונים מול הסדרות הע</w:t>
      </w:r>
      <w:r w:rsidR="00BF4F77" w:rsidRPr="00CD7A85">
        <w:rPr>
          <w:rFonts w:asciiTheme="minorBidi" w:hAnsiTheme="minorBidi" w:cstheme="minorBidi"/>
          <w:b/>
          <w:bCs/>
          <w:sz w:val="22"/>
          <w:szCs w:val="22"/>
          <w:rtl/>
          <w:lang w:bidi="he-IL"/>
        </w:rPr>
        <w:t>ו</w:t>
      </w:r>
      <w:r w:rsidR="00366EFC" w:rsidRPr="00CD7A85">
        <w:rPr>
          <w:rFonts w:asciiTheme="minorBidi" w:hAnsiTheme="minorBidi" w:cstheme="minorBidi"/>
          <w:b/>
          <w:bCs/>
          <w:sz w:val="22"/>
          <w:szCs w:val="22"/>
          <w:rtl/>
          <w:lang w:bidi="he-IL"/>
        </w:rPr>
        <w:t xml:space="preserve">בדים </w:t>
      </w:r>
      <w:r w:rsidR="00D74384" w:rsidRPr="00CD7A85">
        <w:rPr>
          <w:rFonts w:asciiTheme="minorBidi" w:hAnsiTheme="minorBidi" w:cstheme="minorBidi"/>
          <w:b/>
          <w:bCs/>
          <w:sz w:val="22"/>
          <w:szCs w:val="22"/>
          <w:rtl/>
          <w:lang w:bidi="he-IL"/>
        </w:rPr>
        <w:t>לקידום הבטיחות ב</w:t>
      </w:r>
      <w:r w:rsidR="00366EFC" w:rsidRPr="00CD7A85">
        <w:rPr>
          <w:rFonts w:asciiTheme="minorBidi" w:hAnsiTheme="minorBidi" w:cstheme="minorBidi"/>
          <w:b/>
          <w:bCs/>
          <w:sz w:val="22"/>
          <w:szCs w:val="22"/>
          <w:rtl/>
          <w:lang w:bidi="he-IL"/>
        </w:rPr>
        <w:t>ענף הבניה</w:t>
      </w:r>
      <w:r w:rsidR="00366EFC" w:rsidRPr="00CD7A85">
        <w:rPr>
          <w:rFonts w:asciiTheme="minorBidi" w:hAnsiTheme="minorBidi" w:cstheme="minorBidi"/>
          <w:sz w:val="22"/>
          <w:szCs w:val="22"/>
          <w:rtl/>
          <w:lang w:bidi="he-IL"/>
        </w:rPr>
        <w:t xml:space="preserve"> –</w:t>
      </w:r>
      <w:r w:rsidR="00D74384" w:rsidRPr="00CD7A85">
        <w:rPr>
          <w:rFonts w:asciiTheme="minorBidi" w:hAnsiTheme="minorBidi" w:cstheme="minorBidi"/>
          <w:sz w:val="22"/>
          <w:szCs w:val="22"/>
          <w:rtl/>
          <w:lang w:bidi="he-IL"/>
        </w:rPr>
        <w:t xml:space="preserve"> </w:t>
      </w:r>
      <w:r w:rsidR="00BF4F77" w:rsidRPr="00CD7A85">
        <w:rPr>
          <w:rFonts w:asciiTheme="minorBidi" w:hAnsiTheme="minorBidi" w:cstheme="minorBidi"/>
          <w:sz w:val="22"/>
          <w:szCs w:val="22"/>
          <w:rtl/>
          <w:lang w:bidi="he-IL"/>
        </w:rPr>
        <w:t xml:space="preserve">ענף הבניה אחראי על </w:t>
      </w:r>
      <w:r w:rsidR="00BF4F77" w:rsidRPr="00180EAE">
        <w:rPr>
          <w:rFonts w:asciiTheme="minorBidi" w:hAnsiTheme="minorBidi" w:cstheme="minorBidi"/>
          <w:sz w:val="22"/>
          <w:szCs w:val="22"/>
          <w:rtl/>
          <w:lang w:bidi="he-IL"/>
        </w:rPr>
        <w:t>כ-60% מהתאונות</w:t>
      </w:r>
      <w:r w:rsidR="00BF4F77" w:rsidRPr="00CD7A85">
        <w:rPr>
          <w:rFonts w:asciiTheme="minorBidi" w:hAnsiTheme="minorBidi" w:cstheme="minorBidi"/>
          <w:sz w:val="22"/>
          <w:szCs w:val="22"/>
          <w:rtl/>
          <w:lang w:bidi="he-IL"/>
        </w:rPr>
        <w:t xml:space="preserve"> הקטלניות והקשות, טיפול מסיבי </w:t>
      </w:r>
      <w:r w:rsidR="00114344" w:rsidRPr="00CD7A85">
        <w:rPr>
          <w:rFonts w:asciiTheme="minorBidi" w:hAnsiTheme="minorBidi" w:cstheme="minorBidi"/>
          <w:sz w:val="22"/>
          <w:szCs w:val="22"/>
          <w:rtl/>
          <w:lang w:bidi="he-IL"/>
        </w:rPr>
        <w:t xml:space="preserve">לשם הגברת האכיפה, הפיקוח וההרתעה </w:t>
      </w:r>
      <w:r w:rsidR="00BF4F77" w:rsidRPr="00CD7A85">
        <w:rPr>
          <w:rFonts w:asciiTheme="minorBidi" w:hAnsiTheme="minorBidi" w:cstheme="minorBidi"/>
          <w:sz w:val="22"/>
          <w:szCs w:val="22"/>
          <w:rtl/>
          <w:lang w:bidi="he-IL"/>
        </w:rPr>
        <w:t>בענף, יביא להורדה משמעותית במספר ההרוגים והפצועים בכל המשק.</w:t>
      </w:r>
      <w:r w:rsidR="00114344" w:rsidRPr="00CD7A85">
        <w:rPr>
          <w:rFonts w:asciiTheme="minorBidi" w:hAnsiTheme="minorBidi" w:cstheme="minorBidi"/>
          <w:sz w:val="22"/>
          <w:szCs w:val="22"/>
          <w:rtl/>
          <w:lang w:bidi="he-IL"/>
        </w:rPr>
        <w:t xml:space="preserve"> </w:t>
      </w:r>
      <w:r w:rsidR="00F0181C" w:rsidRPr="00CD7A85">
        <w:rPr>
          <w:rFonts w:asciiTheme="minorBidi" w:hAnsiTheme="minorBidi" w:cstheme="minorBidi"/>
          <w:sz w:val="22"/>
          <w:szCs w:val="22"/>
          <w:u w:val="single"/>
          <w:rtl/>
          <w:lang w:bidi="he-IL"/>
        </w:rPr>
        <w:t>מרבית</w:t>
      </w:r>
      <w:r w:rsidR="00114344" w:rsidRPr="00CD7A85">
        <w:rPr>
          <w:rFonts w:asciiTheme="minorBidi" w:hAnsiTheme="minorBidi" w:cstheme="minorBidi"/>
          <w:sz w:val="22"/>
          <w:szCs w:val="22"/>
          <w:u w:val="single"/>
          <w:rtl/>
          <w:lang w:bidi="he-IL"/>
        </w:rPr>
        <w:t xml:space="preserve"> הבטחות משרדי הממשלה מאז נובמבר 2018, בהסכם מול ההסתדרות, טרם בוצעו.</w:t>
      </w:r>
      <w:r w:rsidR="00114344" w:rsidRPr="00CD7A85">
        <w:rPr>
          <w:rFonts w:asciiTheme="minorBidi" w:hAnsiTheme="minorBidi" w:cstheme="minorBidi"/>
          <w:sz w:val="22"/>
          <w:szCs w:val="22"/>
          <w:rtl/>
          <w:lang w:bidi="he-IL"/>
        </w:rPr>
        <w:t xml:space="preserve"> כך, </w:t>
      </w:r>
      <w:r w:rsidR="00072950" w:rsidRPr="00CD7A85">
        <w:rPr>
          <w:rFonts w:asciiTheme="minorBidi" w:hAnsiTheme="minorBidi" w:cstheme="minorBidi"/>
          <w:sz w:val="22"/>
          <w:szCs w:val="22"/>
          <w:rtl/>
          <w:lang w:bidi="he-IL"/>
        </w:rPr>
        <w:t>לא</w:t>
      </w:r>
      <w:r w:rsidR="00114344" w:rsidRPr="00CD7A85">
        <w:rPr>
          <w:rFonts w:asciiTheme="minorBidi" w:hAnsiTheme="minorBidi" w:cstheme="minorBidi"/>
          <w:sz w:val="22"/>
          <w:szCs w:val="22"/>
          <w:rtl/>
          <w:lang w:bidi="he-IL"/>
        </w:rPr>
        <w:t xml:space="preserve"> הוקם קו חם במינהל הבטיחות לשם דיווח על </w:t>
      </w:r>
      <w:r w:rsidR="00995B7F" w:rsidRPr="00CD7A85">
        <w:rPr>
          <w:rFonts w:asciiTheme="minorBidi" w:hAnsiTheme="minorBidi" w:cstheme="minorBidi"/>
          <w:sz w:val="22"/>
          <w:szCs w:val="22"/>
          <w:rtl/>
          <w:lang w:bidi="he-IL"/>
        </w:rPr>
        <w:t>סיכונים</w:t>
      </w:r>
      <w:r w:rsidR="00114344" w:rsidRPr="00CD7A85">
        <w:rPr>
          <w:rFonts w:asciiTheme="minorBidi" w:hAnsiTheme="minorBidi" w:cstheme="minorBidi"/>
          <w:sz w:val="22"/>
          <w:szCs w:val="22"/>
          <w:rtl/>
          <w:lang w:bidi="he-IL"/>
        </w:rPr>
        <w:t xml:space="preserve"> בטיחות</w:t>
      </w:r>
      <w:r w:rsidR="00995B7F" w:rsidRPr="00CD7A85">
        <w:rPr>
          <w:rFonts w:asciiTheme="minorBidi" w:hAnsiTheme="minorBidi" w:cstheme="minorBidi"/>
          <w:sz w:val="22"/>
          <w:szCs w:val="22"/>
          <w:rtl/>
          <w:lang w:bidi="he-IL"/>
        </w:rPr>
        <w:t>יים</w:t>
      </w:r>
      <w:r w:rsidR="00072950" w:rsidRPr="00CD7A85">
        <w:rPr>
          <w:rFonts w:asciiTheme="minorBidi" w:hAnsiTheme="minorBidi" w:cstheme="minorBidi"/>
          <w:sz w:val="22"/>
          <w:szCs w:val="22"/>
          <w:rtl/>
          <w:lang w:bidi="he-IL"/>
        </w:rPr>
        <w:t>;</w:t>
      </w:r>
      <w:r w:rsidR="00114344" w:rsidRPr="00CD7A85">
        <w:rPr>
          <w:rFonts w:asciiTheme="minorBidi" w:hAnsiTheme="minorBidi" w:cstheme="minorBidi"/>
          <w:sz w:val="22"/>
          <w:szCs w:val="22"/>
          <w:rtl/>
          <w:lang w:bidi="he-IL"/>
        </w:rPr>
        <w:t xml:space="preserve"> לא קודמו תקנות המחייבות הקמת רשתות מגן למניעת נפילה</w:t>
      </w:r>
      <w:r w:rsidR="00995B7F" w:rsidRPr="00CD7A85">
        <w:rPr>
          <w:rFonts w:asciiTheme="minorBidi" w:hAnsiTheme="minorBidi" w:cstheme="minorBidi"/>
          <w:sz w:val="22"/>
          <w:szCs w:val="22"/>
          <w:rtl/>
          <w:lang w:bidi="he-IL"/>
        </w:rPr>
        <w:t xml:space="preserve"> באתרי בניה</w:t>
      </w:r>
      <w:r w:rsidR="00072950" w:rsidRPr="00CD7A85">
        <w:rPr>
          <w:rFonts w:asciiTheme="minorBidi" w:hAnsiTheme="minorBidi" w:cstheme="minorBidi"/>
          <w:sz w:val="22"/>
          <w:szCs w:val="22"/>
          <w:rtl/>
          <w:lang w:bidi="he-IL"/>
        </w:rPr>
        <w:t>;</w:t>
      </w:r>
      <w:r w:rsidR="00114344" w:rsidRPr="00CD7A85">
        <w:rPr>
          <w:rFonts w:asciiTheme="minorBidi" w:hAnsiTheme="minorBidi" w:cstheme="minorBidi"/>
          <w:sz w:val="22"/>
          <w:szCs w:val="22"/>
          <w:rtl/>
          <w:lang w:bidi="he-IL"/>
        </w:rPr>
        <w:t xml:space="preserve"> לא קודמה חקיקה המרחיבה את סמכותו של רשם הקבלנים לפתוח בהליכ</w:t>
      </w:r>
      <w:r w:rsidR="00F0181C" w:rsidRPr="00CD7A85">
        <w:rPr>
          <w:rFonts w:asciiTheme="minorBidi" w:hAnsiTheme="minorBidi" w:cstheme="minorBidi"/>
          <w:sz w:val="22"/>
          <w:szCs w:val="22"/>
          <w:rtl/>
          <w:lang w:bidi="he-IL"/>
        </w:rPr>
        <w:t>י משמעת נגד קבלנים מפרי הוראות</w:t>
      </w:r>
      <w:r w:rsidR="00114344" w:rsidRPr="00CD7A85">
        <w:rPr>
          <w:rFonts w:asciiTheme="minorBidi" w:hAnsiTheme="minorBidi" w:cstheme="minorBidi"/>
          <w:sz w:val="22"/>
          <w:szCs w:val="22"/>
          <w:rtl/>
          <w:lang w:bidi="he-IL"/>
        </w:rPr>
        <w:t xml:space="preserve"> הבטיחות</w:t>
      </w:r>
      <w:r w:rsidR="00F0181C" w:rsidRPr="00CD7A85">
        <w:rPr>
          <w:rFonts w:asciiTheme="minorBidi" w:hAnsiTheme="minorBidi" w:cstheme="minorBidi"/>
          <w:sz w:val="22"/>
          <w:szCs w:val="22"/>
          <w:rtl/>
          <w:lang w:bidi="he-IL"/>
        </w:rPr>
        <w:t>.</w:t>
      </w:r>
      <w:r w:rsidR="00114344" w:rsidRPr="00CD7A85">
        <w:rPr>
          <w:rFonts w:asciiTheme="minorBidi" w:hAnsiTheme="minorBidi" w:cstheme="minorBidi"/>
          <w:sz w:val="22"/>
          <w:szCs w:val="22"/>
          <w:rtl/>
          <w:lang w:bidi="he-IL"/>
        </w:rPr>
        <w:t xml:space="preserve"> </w:t>
      </w:r>
      <w:r w:rsidR="00114344" w:rsidRPr="00CD7A85">
        <w:rPr>
          <w:rFonts w:asciiTheme="minorBidi" w:hAnsiTheme="minorBidi" w:cstheme="minorBidi"/>
          <w:sz w:val="22"/>
          <w:szCs w:val="22"/>
          <w:highlight w:val="yellow"/>
          <w:rtl/>
          <w:lang w:bidi="he-IL"/>
        </w:rPr>
        <w:t xml:space="preserve">לרשימת המלאה של ההבטחות ומידת היישום, </w:t>
      </w:r>
      <w:r w:rsidR="00D74384" w:rsidRPr="00CD7A85">
        <w:rPr>
          <w:rFonts w:asciiTheme="minorBidi" w:hAnsiTheme="minorBidi" w:cstheme="minorBidi"/>
          <w:sz w:val="22"/>
          <w:szCs w:val="22"/>
          <w:highlight w:val="yellow"/>
          <w:rtl/>
          <w:lang w:bidi="he-IL"/>
        </w:rPr>
        <w:t xml:space="preserve">ראו </w:t>
      </w:r>
      <w:r w:rsidR="00B93542" w:rsidRPr="00CD7A85">
        <w:rPr>
          <w:rFonts w:asciiTheme="minorBidi" w:hAnsiTheme="minorBidi" w:cstheme="minorBidi"/>
          <w:sz w:val="22"/>
          <w:szCs w:val="22"/>
          <w:highlight w:val="yellow"/>
          <w:rtl/>
          <w:lang w:bidi="he-IL"/>
        </w:rPr>
        <w:t>נספח</w:t>
      </w:r>
      <w:r w:rsidR="00114344" w:rsidRPr="00CD7A85">
        <w:rPr>
          <w:rFonts w:asciiTheme="minorBidi" w:hAnsiTheme="minorBidi" w:cstheme="minorBidi"/>
          <w:sz w:val="22"/>
          <w:szCs w:val="22"/>
          <w:highlight w:val="yellow"/>
          <w:rtl/>
          <w:lang w:bidi="he-IL"/>
        </w:rPr>
        <w:t xml:space="preserve"> א' בהמשך.</w:t>
      </w:r>
    </w:p>
    <w:p w14:paraId="264A0BE5" w14:textId="61274C2A" w:rsidR="00D83A94" w:rsidRPr="00CD7A85" w:rsidRDefault="00F0181C" w:rsidP="00461A77">
      <w:pPr>
        <w:pStyle w:val="ListParagraph"/>
        <w:numPr>
          <w:ilvl w:val="0"/>
          <w:numId w:val="36"/>
        </w:numPr>
        <w:bidi/>
        <w:spacing w:line="360" w:lineRule="auto"/>
        <w:ind w:left="360"/>
        <w:contextualSpacing w:val="0"/>
        <w:jc w:val="both"/>
        <w:rPr>
          <w:rFonts w:asciiTheme="minorBidi" w:hAnsiTheme="minorBidi" w:cstheme="minorBidi"/>
          <w:sz w:val="22"/>
          <w:szCs w:val="22"/>
          <w:lang w:bidi="he-IL"/>
        </w:rPr>
      </w:pPr>
      <w:r w:rsidRPr="00CD7A85">
        <w:rPr>
          <w:rFonts w:asciiTheme="minorBidi" w:hAnsiTheme="minorBidi" w:cstheme="minorBidi"/>
          <w:b/>
          <w:bCs/>
          <w:sz w:val="22"/>
          <w:szCs w:val="22"/>
          <w:rtl/>
          <w:lang w:bidi="he-IL"/>
        </w:rPr>
        <w:t xml:space="preserve">יישום ההרתעה על ידי חקירה ומיצוי דין – </w:t>
      </w:r>
      <w:r w:rsidR="00461A77" w:rsidRPr="00CD7A85">
        <w:rPr>
          <w:rFonts w:asciiTheme="minorBidi" w:hAnsiTheme="minorBidi" w:cstheme="minorBidi"/>
          <w:sz w:val="22"/>
          <w:szCs w:val="22"/>
          <w:rtl/>
          <w:lang w:bidi="he-IL"/>
        </w:rPr>
        <w:t>מיעוט חקירות פליליות וגניזת תיקים על ידי פרקליטות המדינה בשל 'חוסר ראיות' –</w:t>
      </w:r>
      <w:r w:rsidRPr="00CD7A85">
        <w:rPr>
          <w:rFonts w:asciiTheme="minorBidi" w:hAnsiTheme="minorBidi" w:cstheme="minorBidi"/>
          <w:sz w:val="22"/>
          <w:szCs w:val="22"/>
          <w:rtl/>
          <w:lang w:bidi="he-IL"/>
        </w:rPr>
        <w:t xml:space="preserve"> </w:t>
      </w:r>
      <w:r w:rsidR="00461A77" w:rsidRPr="00CD7A85">
        <w:rPr>
          <w:rFonts w:asciiTheme="minorBidi" w:hAnsiTheme="minorBidi" w:cstheme="minorBidi"/>
          <w:sz w:val="22"/>
          <w:szCs w:val="22"/>
          <w:rtl/>
          <w:lang w:bidi="he-IL"/>
        </w:rPr>
        <w:t xml:space="preserve">על כך מעידים </w:t>
      </w:r>
      <w:r w:rsidRPr="00CD7A85">
        <w:rPr>
          <w:rFonts w:asciiTheme="minorBidi" w:hAnsiTheme="minorBidi" w:cstheme="minorBidi"/>
          <w:sz w:val="22"/>
          <w:szCs w:val="22"/>
          <w:rtl/>
          <w:lang w:bidi="he-IL"/>
        </w:rPr>
        <w:t>נתונים שהתקבלו ב-</w:t>
      </w:r>
      <w:r w:rsidR="00D83A94" w:rsidRPr="00CD7A85">
        <w:rPr>
          <w:rFonts w:asciiTheme="minorBidi" w:hAnsiTheme="minorBidi" w:cstheme="minorBidi"/>
          <w:sz w:val="22"/>
          <w:szCs w:val="22"/>
          <w:rtl/>
          <w:lang w:bidi="he-IL"/>
        </w:rPr>
        <w:t>'קו לעובד'</w:t>
      </w:r>
      <w:r w:rsidRPr="00CD7A85">
        <w:rPr>
          <w:rFonts w:asciiTheme="minorBidi" w:hAnsiTheme="minorBidi" w:cstheme="minorBidi"/>
          <w:sz w:val="22"/>
          <w:szCs w:val="22"/>
          <w:rtl/>
          <w:lang w:bidi="he-IL"/>
        </w:rPr>
        <w:t xml:space="preserve"> </w:t>
      </w:r>
      <w:r w:rsidR="00D83A94" w:rsidRPr="00CD7A85">
        <w:rPr>
          <w:rFonts w:asciiTheme="minorBidi" w:hAnsiTheme="minorBidi" w:cstheme="minorBidi"/>
          <w:sz w:val="22"/>
          <w:szCs w:val="22"/>
          <w:rtl/>
          <w:lang w:bidi="he-IL"/>
        </w:rPr>
        <w:t xml:space="preserve">ממשטרת ישראל אודות חקירת תאונות עבודה </w:t>
      </w:r>
      <w:r w:rsidR="00D83A94" w:rsidRPr="00CD7A85">
        <w:rPr>
          <w:rFonts w:asciiTheme="minorBidi" w:hAnsiTheme="minorBidi" w:cstheme="minorBidi"/>
          <w:sz w:val="22"/>
          <w:szCs w:val="22"/>
          <w:u w:val="single"/>
          <w:rtl/>
          <w:lang w:bidi="he-IL"/>
        </w:rPr>
        <w:t>בענף הבניה</w:t>
      </w:r>
      <w:r w:rsidR="00D83A94" w:rsidRPr="00CD7A85">
        <w:rPr>
          <w:rFonts w:asciiTheme="minorBidi" w:hAnsiTheme="minorBidi" w:cstheme="minorBidi"/>
          <w:sz w:val="22"/>
          <w:szCs w:val="22"/>
          <w:rtl/>
          <w:lang w:bidi="he-IL"/>
        </w:rPr>
        <w:t xml:space="preserve"> </w:t>
      </w:r>
      <w:r w:rsidR="00180EAE">
        <w:rPr>
          <w:rFonts w:asciiTheme="minorBidi" w:hAnsiTheme="minorBidi" w:cstheme="minorBidi" w:hint="cs"/>
          <w:sz w:val="22"/>
          <w:szCs w:val="22"/>
          <w:rtl/>
          <w:lang w:bidi="he-IL"/>
        </w:rPr>
        <w:t xml:space="preserve">אשר </w:t>
      </w:r>
      <w:r w:rsidRPr="00CD7A85">
        <w:rPr>
          <w:rFonts w:asciiTheme="minorBidi" w:hAnsiTheme="minorBidi" w:cstheme="minorBidi"/>
          <w:sz w:val="22"/>
          <w:szCs w:val="22"/>
          <w:rtl/>
          <w:lang w:bidi="he-IL"/>
        </w:rPr>
        <w:t xml:space="preserve">חושפים </w:t>
      </w:r>
      <w:r w:rsidR="00D83A94" w:rsidRPr="00CD7A85">
        <w:rPr>
          <w:rFonts w:asciiTheme="minorBidi" w:hAnsiTheme="minorBidi" w:cstheme="minorBidi"/>
          <w:sz w:val="22"/>
          <w:szCs w:val="22"/>
          <w:rtl/>
          <w:lang w:bidi="he-IL"/>
        </w:rPr>
        <w:t xml:space="preserve">כי רק בכ-25% מתאונות העבודה הקטלניות והקשות בשנים 2016-2018, אליהן נקראה משטרת ישראל, נפתחה חקירה פלילית; </w:t>
      </w:r>
      <w:r w:rsidR="00461A77" w:rsidRPr="00CD7A85">
        <w:rPr>
          <w:rFonts w:asciiTheme="minorBidi" w:hAnsiTheme="minorBidi" w:cstheme="minorBidi"/>
          <w:sz w:val="22"/>
          <w:szCs w:val="22"/>
          <w:rtl/>
          <w:lang w:bidi="he-IL"/>
        </w:rPr>
        <w:t>רק בכמחצית המקרים שנפתחו חקירות פליליות</w:t>
      </w:r>
      <w:r w:rsidR="00D83A94" w:rsidRPr="00CD7A85">
        <w:rPr>
          <w:rFonts w:asciiTheme="minorBidi" w:hAnsiTheme="minorBidi" w:cstheme="minorBidi"/>
          <w:sz w:val="22"/>
          <w:szCs w:val="22"/>
          <w:rtl/>
          <w:lang w:bidi="he-IL"/>
        </w:rPr>
        <w:t xml:space="preserve"> (54%) </w:t>
      </w:r>
      <w:r w:rsidR="00461A77" w:rsidRPr="00CD7A85">
        <w:rPr>
          <w:rFonts w:asciiTheme="minorBidi" w:hAnsiTheme="minorBidi" w:cstheme="minorBidi"/>
          <w:sz w:val="22"/>
          <w:szCs w:val="22"/>
          <w:rtl/>
          <w:lang w:bidi="he-IL"/>
        </w:rPr>
        <w:t xml:space="preserve">הן הסתיימו </w:t>
      </w:r>
      <w:r w:rsidR="00D83A94" w:rsidRPr="00CD7A85">
        <w:rPr>
          <w:rFonts w:asciiTheme="minorBidi" w:hAnsiTheme="minorBidi" w:cstheme="minorBidi"/>
          <w:sz w:val="22"/>
          <w:szCs w:val="22"/>
          <w:rtl/>
          <w:lang w:bidi="he-IL"/>
        </w:rPr>
        <w:t>ו</w:t>
      </w:r>
      <w:r w:rsidR="00461A77" w:rsidRPr="00CD7A85">
        <w:rPr>
          <w:rFonts w:asciiTheme="minorBidi" w:hAnsiTheme="minorBidi" w:cstheme="minorBidi"/>
          <w:sz w:val="22"/>
          <w:szCs w:val="22"/>
          <w:rtl/>
          <w:lang w:bidi="he-IL"/>
        </w:rPr>
        <w:t>התיק עבר לטיפול פרקליטות המדינה. גם כאן המצב חמור:</w:t>
      </w:r>
      <w:r w:rsidR="00D83A94" w:rsidRPr="00CD7A85">
        <w:rPr>
          <w:rFonts w:asciiTheme="minorBidi" w:hAnsiTheme="minorBidi" w:cstheme="minorBidi"/>
          <w:sz w:val="22"/>
          <w:szCs w:val="22"/>
          <w:rtl/>
          <w:lang w:bidi="he-IL"/>
        </w:rPr>
        <w:t xml:space="preserve"> </w:t>
      </w:r>
      <w:r w:rsidR="00D83A94" w:rsidRPr="00CD7A85">
        <w:rPr>
          <w:rFonts w:asciiTheme="minorBidi" w:hAnsiTheme="minorBidi" w:cstheme="minorBidi"/>
          <w:sz w:val="22"/>
          <w:szCs w:val="22"/>
          <w:rtl/>
        </w:rPr>
        <w:t xml:space="preserve">45% </w:t>
      </w:r>
      <w:r w:rsidR="00D83A94" w:rsidRPr="00CD7A85">
        <w:rPr>
          <w:rFonts w:asciiTheme="minorBidi" w:hAnsiTheme="minorBidi" w:cstheme="minorBidi"/>
          <w:sz w:val="22"/>
          <w:szCs w:val="22"/>
          <w:rtl/>
          <w:lang w:bidi="he-IL"/>
        </w:rPr>
        <w:t>מהתיקים שהועברו לפרקליטות כבר נגנזו, בעילה של "העדר ראיות".</w:t>
      </w:r>
    </w:p>
    <w:p w14:paraId="5C86E9A0" w14:textId="77777777" w:rsidR="00F0181C" w:rsidRPr="00CD7A85" w:rsidRDefault="00F0181C" w:rsidP="00F0181C">
      <w:pPr>
        <w:pStyle w:val="ListParagraph"/>
        <w:bidi/>
        <w:spacing w:line="360" w:lineRule="auto"/>
        <w:ind w:left="360"/>
        <w:contextualSpacing w:val="0"/>
        <w:jc w:val="both"/>
        <w:rPr>
          <w:rFonts w:asciiTheme="minorBidi" w:hAnsiTheme="minorBidi" w:cstheme="minorBidi"/>
          <w:sz w:val="22"/>
          <w:szCs w:val="22"/>
          <w:rtl/>
          <w:lang w:bidi="he-IL"/>
        </w:rPr>
      </w:pPr>
    </w:p>
    <w:p w14:paraId="01B70552" w14:textId="0E0EAE01" w:rsidR="00366EFC" w:rsidRPr="00CD7A85" w:rsidRDefault="00915C12" w:rsidP="00F0181C">
      <w:pPr>
        <w:pStyle w:val="ListParagraph"/>
        <w:bidi/>
        <w:spacing w:line="360" w:lineRule="auto"/>
        <w:ind w:left="360"/>
        <w:contextualSpacing w:val="0"/>
        <w:jc w:val="both"/>
        <w:rPr>
          <w:rFonts w:asciiTheme="minorBidi" w:hAnsiTheme="minorBidi" w:cstheme="minorBidi"/>
          <w:sz w:val="22"/>
          <w:szCs w:val="22"/>
          <w:rtl/>
          <w:lang w:bidi="he-IL"/>
        </w:rPr>
      </w:pPr>
      <w:r w:rsidRPr="00CD7A85">
        <w:rPr>
          <w:rFonts w:asciiTheme="minorBidi" w:hAnsiTheme="minorBidi" w:cstheme="minorBidi"/>
          <w:sz w:val="22"/>
          <w:szCs w:val="22"/>
          <w:rtl/>
          <w:lang w:bidi="he-IL"/>
        </w:rPr>
        <w:t>על רקע מציאות זו הוקמה בשלהי 2018 יחידת המשטרה הארצית 'פלס' לחקירת תאונות העבודה, אולם חצי שנה חלפה מאז, ורק 3 תאונות עבודה נחקרות על-ידי היחידה -</w:t>
      </w:r>
      <w:r w:rsidR="00B93542" w:rsidRPr="00CD7A85">
        <w:rPr>
          <w:rFonts w:asciiTheme="minorBidi" w:hAnsiTheme="minorBidi" w:cstheme="minorBidi"/>
          <w:sz w:val="22"/>
          <w:szCs w:val="22"/>
          <w:rtl/>
          <w:lang w:bidi="he-IL"/>
        </w:rPr>
        <w:t xml:space="preserve"> </w:t>
      </w:r>
      <w:r w:rsidRPr="00CD7A85">
        <w:rPr>
          <w:rFonts w:asciiTheme="minorBidi" w:hAnsiTheme="minorBidi" w:cstheme="minorBidi"/>
          <w:sz w:val="22"/>
          <w:szCs w:val="22"/>
          <w:rtl/>
          <w:lang w:bidi="he-IL"/>
        </w:rPr>
        <w:t>שלושתן קטלניות ובענף הבנין. בתשובת המשטרה מיום 19.3, לפניית 'קו לעובד' אודות סוג תאונות העבודה שכן יחקרו על-ידי היחידה, נמסר כי</w:t>
      </w:r>
      <w:r w:rsidRPr="00CD7A85">
        <w:rPr>
          <w:rFonts w:asciiTheme="minorBidi" w:hAnsiTheme="minorBidi" w:cstheme="minorBidi"/>
          <w:sz w:val="22"/>
          <w:szCs w:val="22"/>
          <w:rtl/>
          <w:lang w:bidi="ar-LB"/>
        </w:rPr>
        <w:t xml:space="preserve"> </w:t>
      </w:r>
      <w:r w:rsidRPr="00CD7A85">
        <w:rPr>
          <w:rFonts w:asciiTheme="minorBidi" w:hAnsiTheme="minorBidi" w:cstheme="minorBidi"/>
          <w:sz w:val="22"/>
          <w:szCs w:val="22"/>
          <w:rtl/>
          <w:lang w:bidi="he-IL"/>
        </w:rPr>
        <w:t>יחידת 'פלס' תחקור "אירועים בעלי מאפיינים ייחודיים, לדוגמא תאונות מורכבות המערבות קריסת תשתיות, או מצריכות ידע ומשאבים רבים, בהתאם לשיקול הדעת של הפיקוד".</w:t>
      </w:r>
    </w:p>
    <w:p w14:paraId="42C491DE" w14:textId="72DAD6E2" w:rsidR="00461A77" w:rsidRPr="00CD7A85" w:rsidRDefault="00461A77" w:rsidP="00461A77">
      <w:pPr>
        <w:pStyle w:val="ListParagraph"/>
        <w:bidi/>
        <w:spacing w:line="360" w:lineRule="auto"/>
        <w:ind w:left="360"/>
        <w:contextualSpacing w:val="0"/>
        <w:jc w:val="both"/>
        <w:rPr>
          <w:rFonts w:asciiTheme="minorBidi" w:hAnsiTheme="minorBidi" w:cstheme="minorBidi"/>
          <w:sz w:val="22"/>
          <w:szCs w:val="22"/>
          <w:rtl/>
          <w:lang w:bidi="he-IL"/>
        </w:rPr>
      </w:pPr>
      <w:r w:rsidRPr="00180EAE">
        <w:rPr>
          <w:rFonts w:asciiTheme="minorBidi" w:hAnsiTheme="minorBidi" w:cstheme="minorBidi"/>
          <w:sz w:val="22"/>
          <w:szCs w:val="22"/>
          <w:rtl/>
          <w:lang w:bidi="he-IL"/>
        </w:rPr>
        <w:t xml:space="preserve">יש לדאוג כי הרשויות השונות הנוגעות לדבר יפעלו לחקירה ומיצוי דין בתחום תאונות העבודה, תוך כדי הגדלת השקיפות ויידוע הציבור אודות החקירות וקיצור משמעותי של זמני פעולות החקירה ומיצוי הדין, אשר יצטרפו להסכמת </w:t>
      </w:r>
      <w:r w:rsidR="00180EAE">
        <w:rPr>
          <w:rFonts w:asciiTheme="minorBidi" w:hAnsiTheme="minorBidi" w:cstheme="minorBidi" w:hint="cs"/>
          <w:sz w:val="22"/>
          <w:szCs w:val="22"/>
          <w:rtl/>
          <w:lang w:bidi="he-IL"/>
        </w:rPr>
        <w:t>משרדי הממשלה</w:t>
      </w:r>
      <w:r w:rsidRPr="00180EAE">
        <w:rPr>
          <w:rFonts w:asciiTheme="minorBidi" w:hAnsiTheme="minorBidi" w:cstheme="minorBidi"/>
          <w:sz w:val="22"/>
          <w:szCs w:val="22"/>
          <w:rtl/>
          <w:lang w:bidi="he-IL"/>
        </w:rPr>
        <w:t xml:space="preserve"> עם ההסתדרות שטרם יושמה על הרחבת האחריות למזמין העבודה.</w:t>
      </w:r>
      <w:r w:rsidRPr="00CD7A85">
        <w:rPr>
          <w:rFonts w:asciiTheme="minorBidi" w:hAnsiTheme="minorBidi" w:cstheme="minorBidi"/>
          <w:sz w:val="22"/>
          <w:szCs w:val="22"/>
          <w:rtl/>
          <w:lang w:bidi="he-IL"/>
        </w:rPr>
        <w:t xml:space="preserve"> </w:t>
      </w:r>
    </w:p>
    <w:p w14:paraId="087A83C1" w14:textId="77777777" w:rsidR="00461A77" w:rsidRPr="00CD7A85" w:rsidRDefault="00461A77" w:rsidP="00461A77">
      <w:pPr>
        <w:pStyle w:val="ListParagraph"/>
        <w:bidi/>
        <w:spacing w:line="360" w:lineRule="auto"/>
        <w:ind w:left="360"/>
        <w:contextualSpacing w:val="0"/>
        <w:jc w:val="both"/>
        <w:rPr>
          <w:rFonts w:asciiTheme="minorBidi" w:hAnsiTheme="minorBidi" w:cstheme="minorBidi"/>
          <w:sz w:val="22"/>
          <w:szCs w:val="22"/>
          <w:rtl/>
          <w:lang w:bidi="he-IL"/>
        </w:rPr>
      </w:pPr>
    </w:p>
    <w:p w14:paraId="115D14B9" w14:textId="53670F18" w:rsidR="006928ED" w:rsidRPr="00CD7A85" w:rsidRDefault="006928ED" w:rsidP="0041535C">
      <w:pPr>
        <w:bidi/>
        <w:spacing w:after="120" w:line="360" w:lineRule="auto"/>
        <w:ind w:left="360"/>
        <w:jc w:val="center"/>
        <w:rPr>
          <w:rFonts w:asciiTheme="minorBidi" w:hAnsiTheme="minorBidi" w:cstheme="minorBidi"/>
          <w:color w:val="000000" w:themeColor="text1"/>
          <w:sz w:val="22"/>
          <w:szCs w:val="22"/>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A85">
        <w:rPr>
          <w:rFonts w:asciiTheme="minorBidi" w:hAnsiTheme="minorBidi" w:cstheme="minorBidi"/>
          <w:sz w:val="22"/>
          <w:szCs w:val="22"/>
          <w:rtl/>
          <w:lang w:bidi="he-IL"/>
        </w:rPr>
        <w:br w:type="page"/>
      </w:r>
      <w:r w:rsidR="00D862B9" w:rsidRPr="00CD7A85">
        <w:rPr>
          <w:rFonts w:asciiTheme="minorBidi" w:hAnsiTheme="minorBidi" w:cstheme="minorBidi"/>
          <w:color w:val="000000" w:themeColor="text1"/>
          <w:sz w:val="22"/>
          <w:szCs w:val="22"/>
          <w:u w:val="single"/>
          <w:rtl/>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נספח </w:t>
      </w:r>
      <w:r w:rsidR="00072950" w:rsidRPr="00CD7A85">
        <w:rPr>
          <w:rFonts w:asciiTheme="minorBidi" w:hAnsiTheme="minorBidi" w:cstheme="minorBidi"/>
          <w:color w:val="000000" w:themeColor="text1"/>
          <w:sz w:val="22"/>
          <w:szCs w:val="22"/>
          <w:u w:val="single"/>
          <w:rtl/>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א</w:t>
      </w:r>
      <w:r w:rsidR="00D862B9" w:rsidRPr="00CD7A85">
        <w:rPr>
          <w:rFonts w:asciiTheme="minorBidi" w:hAnsiTheme="minorBidi" w:cstheme="minorBidi"/>
          <w:color w:val="000000" w:themeColor="text1"/>
          <w:sz w:val="22"/>
          <w:szCs w:val="22"/>
          <w:u w:val="single"/>
          <w:rtl/>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72950" w:rsidRPr="00CD7A85">
        <w:rPr>
          <w:rFonts w:asciiTheme="minorBidi" w:hAnsiTheme="minorBidi" w:cstheme="minorBidi"/>
          <w:color w:val="000000" w:themeColor="text1"/>
          <w:sz w:val="22"/>
          <w:szCs w:val="22"/>
          <w:u w:val="single"/>
          <w:rtl/>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D7A85">
        <w:rPr>
          <w:rFonts w:asciiTheme="minorBidi" w:hAnsiTheme="minorBidi" w:cstheme="minorBidi"/>
          <w:color w:val="000000" w:themeColor="text1"/>
          <w:sz w:val="22"/>
          <w:szCs w:val="22"/>
          <w:u w:val="single"/>
          <w:rtl/>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התחייבויות משרדי הממשלה במסגרת ההסכם עם ההסתדרות, ומידת יישומן</w:t>
      </w:r>
    </w:p>
    <w:tbl>
      <w:tblPr>
        <w:tblStyle w:val="MediumShading1-Accent1"/>
        <w:bidiVisual/>
        <w:tblW w:w="10348" w:type="dxa"/>
        <w:jc w:val="center"/>
        <w:tblLayout w:type="fixed"/>
        <w:tblLook w:val="04A0" w:firstRow="1" w:lastRow="0" w:firstColumn="1" w:lastColumn="0" w:noHBand="0" w:noVBand="1"/>
      </w:tblPr>
      <w:tblGrid>
        <w:gridCol w:w="5657"/>
        <w:gridCol w:w="4691"/>
      </w:tblGrid>
      <w:tr w:rsidR="006928ED" w:rsidRPr="00CD7A85" w14:paraId="534D56CC" w14:textId="77777777" w:rsidTr="006928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7" w:type="dxa"/>
          </w:tcPr>
          <w:p w14:paraId="3AF0AAB0" w14:textId="77777777" w:rsidR="006928ED" w:rsidRPr="00CD7A85" w:rsidRDefault="006928ED" w:rsidP="0041535C">
            <w:pPr>
              <w:tabs>
                <w:tab w:val="right" w:pos="5692"/>
              </w:tabs>
              <w:bidi/>
              <w:spacing w:line="360" w:lineRule="auto"/>
              <w:ind w:right="152"/>
              <w:jc w:val="center"/>
              <w:rPr>
                <w:rFonts w:asciiTheme="minorBidi" w:hAnsiTheme="minorBidi" w:cstheme="minorBidi"/>
                <w:sz w:val="22"/>
                <w:szCs w:val="22"/>
                <w:rtl/>
                <w:lang w:bidi="he-IL"/>
              </w:rPr>
            </w:pPr>
            <w:r w:rsidRPr="00CD7A85">
              <w:rPr>
                <w:rFonts w:asciiTheme="minorBidi" w:hAnsiTheme="minorBidi" w:cstheme="minorBidi"/>
                <w:sz w:val="22"/>
                <w:szCs w:val="22"/>
                <w:rtl/>
                <w:lang w:bidi="he-IL"/>
              </w:rPr>
              <w:t>התחייבות</w:t>
            </w:r>
          </w:p>
        </w:tc>
        <w:tc>
          <w:tcPr>
            <w:tcW w:w="4691" w:type="dxa"/>
          </w:tcPr>
          <w:p w14:paraId="3DD10598" w14:textId="77777777" w:rsidR="006928ED" w:rsidRPr="00CD7A85" w:rsidRDefault="006928ED" w:rsidP="0041535C">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22"/>
                <w:szCs w:val="22"/>
                <w:rtl/>
                <w:lang w:bidi="he-IL"/>
              </w:rPr>
            </w:pPr>
            <w:r w:rsidRPr="00CD7A85">
              <w:rPr>
                <w:rFonts w:asciiTheme="minorBidi" w:hAnsiTheme="minorBidi" w:cstheme="minorBidi"/>
                <w:sz w:val="22"/>
                <w:szCs w:val="22"/>
                <w:rtl/>
                <w:lang w:bidi="he-IL"/>
              </w:rPr>
              <w:t>יישום</w:t>
            </w:r>
          </w:p>
          <w:p w14:paraId="16D06207" w14:textId="77777777" w:rsidR="006928ED" w:rsidRPr="00CD7A85" w:rsidRDefault="006928ED" w:rsidP="0041535C">
            <w:pPr>
              <w:bidi/>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22"/>
                <w:szCs w:val="22"/>
                <w:rtl/>
                <w:lang w:bidi="he-IL"/>
              </w:rPr>
            </w:pPr>
          </w:p>
        </w:tc>
      </w:tr>
      <w:tr w:rsidR="006928ED" w:rsidRPr="00CD7A85" w14:paraId="154CBAA9" w14:textId="77777777" w:rsidTr="006928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7" w:type="dxa"/>
          </w:tcPr>
          <w:p w14:paraId="5907A90C" w14:textId="77777777" w:rsidR="006928ED" w:rsidRPr="00CD7A85" w:rsidRDefault="006928ED" w:rsidP="0041535C">
            <w:pPr>
              <w:tabs>
                <w:tab w:val="right" w:pos="5692"/>
              </w:tabs>
              <w:bidi/>
              <w:spacing w:line="360" w:lineRule="auto"/>
              <w:ind w:right="152"/>
              <w:jc w:val="both"/>
              <w:rPr>
                <w:rFonts w:asciiTheme="minorBidi" w:hAnsiTheme="minorBidi" w:cstheme="minorBidi"/>
                <w:sz w:val="22"/>
                <w:szCs w:val="22"/>
                <w:rtl/>
                <w:lang w:bidi="he-IL"/>
              </w:rPr>
            </w:pPr>
            <w:r w:rsidRPr="00CD7A85">
              <w:rPr>
                <w:rFonts w:asciiTheme="minorBidi" w:hAnsiTheme="minorBidi" w:cstheme="minorBidi"/>
                <w:sz w:val="22"/>
                <w:szCs w:val="22"/>
                <w:rtl/>
                <w:lang w:bidi="he-IL"/>
              </w:rPr>
              <w:t xml:space="preserve">60 תקנים למינהל הבטיחות </w:t>
            </w:r>
          </w:p>
          <w:p w14:paraId="15ED2281"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b w:val="0"/>
                <w:bCs w:val="0"/>
                <w:sz w:val="22"/>
                <w:szCs w:val="22"/>
                <w:rtl/>
                <w:lang w:bidi="he-IL"/>
              </w:rPr>
              <w:t>הוחלט כי עד ינואר 2019, יוקצו 60 תקנים נוספים למינהל הבטיחות במשרד העבודה, לשם הגברת הבטיחות בענף הבניה.</w:t>
            </w:r>
          </w:p>
        </w:tc>
        <w:tc>
          <w:tcPr>
            <w:tcW w:w="4691" w:type="dxa"/>
          </w:tcPr>
          <w:p w14:paraId="45516CFB" w14:textId="77777777" w:rsidR="006928ED" w:rsidRPr="00CD7A85" w:rsidRDefault="006928ED" w:rsidP="0041535C">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tl/>
                <w:lang w:bidi="he-IL"/>
              </w:rPr>
            </w:pPr>
            <w:r w:rsidRPr="00CD7A85">
              <w:rPr>
                <w:rFonts w:asciiTheme="minorBidi" w:hAnsiTheme="minorBidi" w:cstheme="minorBidi"/>
                <w:b/>
                <w:bCs/>
                <w:sz w:val="22"/>
                <w:szCs w:val="22"/>
                <w:rtl/>
                <w:lang w:bidi="he-IL"/>
              </w:rPr>
              <w:t>רק 17 תקנים אוישו, בתום חצי שנה מאז חתימת ההסכם.</w:t>
            </w:r>
          </w:p>
          <w:p w14:paraId="5FCEA2E9" w14:textId="77777777" w:rsidR="006928ED" w:rsidRPr="00CD7A85" w:rsidRDefault="006928ED" w:rsidP="0041535C">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lang w:bidi="he-IL"/>
              </w:rPr>
            </w:pPr>
            <w:r w:rsidRPr="00CD7A85">
              <w:rPr>
                <w:rFonts w:asciiTheme="minorBidi" w:hAnsiTheme="minorBidi" w:cstheme="minorBidi"/>
                <w:sz w:val="22"/>
                <w:szCs w:val="22"/>
                <w:rtl/>
                <w:lang w:bidi="he-IL"/>
              </w:rPr>
              <w:t xml:space="preserve">(לפי </w:t>
            </w:r>
            <w:hyperlink r:id="rId13" w:history="1">
              <w:r w:rsidRPr="00CD7A85">
                <w:rPr>
                  <w:rStyle w:val="Hyperlink"/>
                  <w:rFonts w:asciiTheme="minorBidi" w:hAnsiTheme="minorBidi" w:cstheme="minorBidi"/>
                  <w:sz w:val="22"/>
                  <w:szCs w:val="22"/>
                  <w:rtl/>
                  <w:lang w:bidi="he-IL"/>
                </w:rPr>
                <w:t>תשובת מינהל הבטיחות לתקשורת</w:t>
              </w:r>
            </w:hyperlink>
            <w:r w:rsidRPr="00CD7A85">
              <w:rPr>
                <w:rFonts w:asciiTheme="minorBidi" w:hAnsiTheme="minorBidi" w:cstheme="minorBidi"/>
                <w:sz w:val="22"/>
                <w:szCs w:val="22"/>
                <w:rtl/>
                <w:lang w:bidi="he-IL"/>
              </w:rPr>
              <w:t>)</w:t>
            </w:r>
          </w:p>
        </w:tc>
      </w:tr>
      <w:tr w:rsidR="006928ED" w:rsidRPr="00CD7A85" w14:paraId="4161E8AD" w14:textId="77777777" w:rsidTr="006928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7" w:type="dxa"/>
          </w:tcPr>
          <w:p w14:paraId="3BA19C18"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sz w:val="22"/>
                <w:szCs w:val="22"/>
                <w:rtl/>
                <w:lang w:bidi="he-IL"/>
              </w:rPr>
              <w:t>פיגומים לפי התקן האירופי תוך שנה וחצי</w:t>
            </w:r>
          </w:p>
          <w:p w14:paraId="41EE0F1F"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b w:val="0"/>
                <w:bCs w:val="0"/>
                <w:sz w:val="22"/>
                <w:szCs w:val="22"/>
                <w:rtl/>
                <w:lang w:bidi="he-IL"/>
              </w:rPr>
              <w:t xml:space="preserve">הובטח אימוץ הדרגתי, שיושלם תוך שנה וחצי, לתקן האירופי לפיגומים. </w:t>
            </w:r>
          </w:p>
        </w:tc>
        <w:tc>
          <w:tcPr>
            <w:tcW w:w="4691" w:type="dxa"/>
          </w:tcPr>
          <w:p w14:paraId="64C70043" w14:textId="77777777" w:rsidR="006928ED" w:rsidRPr="00CD7A85" w:rsidRDefault="006928ED" w:rsidP="0041535C">
            <w:pPr>
              <w:bidi/>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bCs/>
                <w:sz w:val="22"/>
                <w:szCs w:val="22"/>
                <w:rtl/>
                <w:lang w:bidi="he-IL"/>
              </w:rPr>
            </w:pPr>
            <w:r w:rsidRPr="00CD7A85">
              <w:rPr>
                <w:rFonts w:asciiTheme="minorBidi" w:hAnsiTheme="minorBidi" w:cstheme="minorBidi"/>
                <w:b/>
                <w:bCs/>
                <w:sz w:val="22"/>
                <w:szCs w:val="22"/>
                <w:rtl/>
                <w:lang w:bidi="he-IL"/>
              </w:rPr>
              <w:t>החלה הדרגתית שתימשך 3 שנים (עד ינואר 2022) לו"ז כפול ממה שהובטח.</w:t>
            </w:r>
          </w:p>
        </w:tc>
      </w:tr>
      <w:tr w:rsidR="006928ED" w:rsidRPr="00CD7A85" w14:paraId="5E809464" w14:textId="77777777" w:rsidTr="006928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7" w:type="dxa"/>
          </w:tcPr>
          <w:p w14:paraId="6428029F" w14:textId="77777777" w:rsidR="006928ED" w:rsidRPr="00CD7A85" w:rsidRDefault="006928ED" w:rsidP="0041535C">
            <w:pPr>
              <w:tabs>
                <w:tab w:val="right" w:pos="5692"/>
              </w:tabs>
              <w:bidi/>
              <w:spacing w:line="360" w:lineRule="auto"/>
              <w:ind w:right="152"/>
              <w:jc w:val="both"/>
              <w:rPr>
                <w:rFonts w:asciiTheme="minorBidi" w:hAnsiTheme="minorBidi" w:cstheme="minorBidi"/>
                <w:sz w:val="22"/>
                <w:szCs w:val="22"/>
                <w:rtl/>
                <w:lang w:bidi="he-IL"/>
              </w:rPr>
            </w:pPr>
            <w:r w:rsidRPr="00CD7A85">
              <w:rPr>
                <w:rFonts w:asciiTheme="minorBidi" w:hAnsiTheme="minorBidi" w:cstheme="minorBidi"/>
                <w:sz w:val="22"/>
                <w:szCs w:val="22"/>
                <w:rtl/>
                <w:lang w:bidi="he-IL"/>
              </w:rPr>
              <w:t xml:space="preserve">רשתות מגן לעבודה בגובה </w:t>
            </w:r>
          </w:p>
          <w:p w14:paraId="6DF97C6E"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b w:val="0"/>
                <w:bCs w:val="0"/>
                <w:sz w:val="22"/>
                <w:szCs w:val="22"/>
                <w:rtl/>
                <w:lang w:bidi="he-IL"/>
              </w:rPr>
              <w:t xml:space="preserve">הובטח כי יוקם צוות מקצועי בהובלת מנהל הבטיחות ובהשתתפות משרד הבינוי והשיכון וההסתדרות, שיגיש לשר העבודה המלצות </w:t>
            </w:r>
            <w:r w:rsidRPr="00CD7A85">
              <w:rPr>
                <w:rFonts w:asciiTheme="minorBidi" w:hAnsiTheme="minorBidi" w:cstheme="minorBidi"/>
                <w:b w:val="0"/>
                <w:bCs w:val="0"/>
                <w:sz w:val="22"/>
                <w:szCs w:val="22"/>
                <w:u w:val="single"/>
                <w:rtl/>
                <w:lang w:bidi="he-IL"/>
              </w:rPr>
              <w:t>תוך 3 חודשים</w:t>
            </w:r>
            <w:r w:rsidRPr="00CD7A85">
              <w:rPr>
                <w:rFonts w:asciiTheme="minorBidi" w:hAnsiTheme="minorBidi" w:cstheme="minorBidi"/>
                <w:b w:val="0"/>
                <w:bCs w:val="0"/>
                <w:sz w:val="22"/>
                <w:szCs w:val="22"/>
                <w:rtl/>
                <w:lang w:bidi="he-IL"/>
              </w:rPr>
              <w:t>, להטמעת החובה להתקין רשתות מגן מתאימות באתרי הבניה.</w:t>
            </w:r>
          </w:p>
        </w:tc>
        <w:tc>
          <w:tcPr>
            <w:tcW w:w="4691" w:type="dxa"/>
          </w:tcPr>
          <w:p w14:paraId="17276CAB" w14:textId="77777777" w:rsidR="006928ED" w:rsidRPr="00CD7A85" w:rsidRDefault="006928ED" w:rsidP="0041535C">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lang w:bidi="he-IL"/>
              </w:rPr>
            </w:pPr>
            <w:r w:rsidRPr="00CD7A85">
              <w:rPr>
                <w:rFonts w:asciiTheme="minorBidi" w:hAnsiTheme="minorBidi" w:cstheme="minorBidi"/>
                <w:b/>
                <w:bCs/>
                <w:sz w:val="22"/>
                <w:szCs w:val="22"/>
                <w:rtl/>
                <w:lang w:bidi="he-IL"/>
              </w:rPr>
              <w:t xml:space="preserve">לא בוצע. </w:t>
            </w:r>
            <w:r w:rsidRPr="00CD7A85">
              <w:rPr>
                <w:rFonts w:asciiTheme="minorBidi" w:hAnsiTheme="minorBidi" w:cstheme="minorBidi"/>
                <w:sz w:val="22"/>
                <w:szCs w:val="22"/>
                <w:rtl/>
                <w:lang w:bidi="he-IL"/>
              </w:rPr>
              <w:t>המשרדים לא עמדו בהבטחה. הוקמה ועדת היגוי, אך טרם גובשו המלצות.</w:t>
            </w:r>
          </w:p>
        </w:tc>
      </w:tr>
      <w:tr w:rsidR="006928ED" w:rsidRPr="00CD7A85" w14:paraId="40E5F139" w14:textId="77777777" w:rsidTr="006928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7" w:type="dxa"/>
          </w:tcPr>
          <w:p w14:paraId="05C9A9FB" w14:textId="77777777" w:rsidR="006928ED" w:rsidRPr="00CD7A85" w:rsidRDefault="006928ED" w:rsidP="0041535C">
            <w:pPr>
              <w:tabs>
                <w:tab w:val="right" w:pos="5692"/>
              </w:tabs>
              <w:bidi/>
              <w:spacing w:line="360" w:lineRule="auto"/>
              <w:ind w:right="152"/>
              <w:jc w:val="both"/>
              <w:rPr>
                <w:rFonts w:asciiTheme="minorBidi" w:hAnsiTheme="minorBidi" w:cstheme="minorBidi"/>
                <w:sz w:val="22"/>
                <w:szCs w:val="22"/>
                <w:rtl/>
                <w:lang w:bidi="he-IL"/>
              </w:rPr>
            </w:pPr>
            <w:r w:rsidRPr="00CD7A85">
              <w:rPr>
                <w:rFonts w:asciiTheme="minorBidi" w:hAnsiTheme="minorBidi" w:cstheme="minorBidi"/>
                <w:sz w:val="22"/>
                <w:szCs w:val="22"/>
                <w:rtl/>
                <w:lang w:bidi="he-IL"/>
              </w:rPr>
              <w:t>קמפיין הגברת מודעות</w:t>
            </w:r>
          </w:p>
          <w:p w14:paraId="248ABA02"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b w:val="0"/>
                <w:bCs w:val="0"/>
                <w:sz w:val="22"/>
                <w:szCs w:val="22"/>
                <w:rtl/>
                <w:lang w:bidi="he-IL"/>
              </w:rPr>
              <w:t xml:space="preserve">הובטח קמפיין ציבורי להעלאת המודעות במימון משותף של משרד העבודה וההסתדרות בסך כולל 2 מיליוני ש"ח. </w:t>
            </w:r>
          </w:p>
        </w:tc>
        <w:tc>
          <w:tcPr>
            <w:tcW w:w="4691" w:type="dxa"/>
          </w:tcPr>
          <w:p w14:paraId="790E9E90" w14:textId="77777777" w:rsidR="006928ED" w:rsidRPr="00CD7A85" w:rsidRDefault="006928ED" w:rsidP="0041535C">
            <w:pPr>
              <w:bidi/>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22"/>
                <w:szCs w:val="22"/>
                <w:rtl/>
                <w:lang w:bidi="he-IL"/>
              </w:rPr>
            </w:pPr>
            <w:r w:rsidRPr="00CD7A85">
              <w:rPr>
                <w:rFonts w:asciiTheme="minorBidi" w:hAnsiTheme="minorBidi" w:cstheme="minorBidi"/>
                <w:b/>
                <w:bCs/>
                <w:sz w:val="22"/>
                <w:szCs w:val="22"/>
                <w:rtl/>
                <w:lang w:bidi="he-IL"/>
              </w:rPr>
              <w:t>לא בוצע</w:t>
            </w:r>
            <w:r w:rsidRPr="00CD7A85">
              <w:rPr>
                <w:rFonts w:asciiTheme="minorBidi" w:hAnsiTheme="minorBidi" w:cstheme="minorBidi"/>
                <w:sz w:val="22"/>
                <w:szCs w:val="22"/>
                <w:rtl/>
                <w:lang w:bidi="he-IL"/>
              </w:rPr>
              <w:t xml:space="preserve">. </w:t>
            </w:r>
          </w:p>
        </w:tc>
      </w:tr>
      <w:tr w:rsidR="006928ED" w:rsidRPr="00CD7A85" w14:paraId="63C4EEE9" w14:textId="77777777" w:rsidTr="006928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7" w:type="dxa"/>
          </w:tcPr>
          <w:p w14:paraId="5063FBBC" w14:textId="77777777" w:rsidR="006928ED" w:rsidRPr="00CD7A85" w:rsidRDefault="006928ED" w:rsidP="0041535C">
            <w:pPr>
              <w:tabs>
                <w:tab w:val="right" w:pos="5692"/>
              </w:tabs>
              <w:bidi/>
              <w:spacing w:line="360" w:lineRule="auto"/>
              <w:ind w:right="152"/>
              <w:jc w:val="both"/>
              <w:rPr>
                <w:rFonts w:asciiTheme="minorBidi" w:hAnsiTheme="minorBidi" w:cstheme="minorBidi"/>
                <w:sz w:val="22"/>
                <w:szCs w:val="22"/>
                <w:rtl/>
                <w:lang w:bidi="he-IL"/>
              </w:rPr>
            </w:pPr>
            <w:r w:rsidRPr="00CD7A85">
              <w:rPr>
                <w:rFonts w:asciiTheme="minorBidi" w:hAnsiTheme="minorBidi" w:cstheme="minorBidi"/>
                <w:sz w:val="22"/>
                <w:szCs w:val="22"/>
                <w:rtl/>
                <w:lang w:bidi="he-IL"/>
              </w:rPr>
              <w:t>קו חם לעובדים ולציבור לתלונות על ליקויי בטיחות</w:t>
            </w:r>
          </w:p>
          <w:p w14:paraId="26BD47F2"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b w:val="0"/>
                <w:bCs w:val="0"/>
                <w:sz w:val="22"/>
                <w:szCs w:val="22"/>
                <w:rtl/>
                <w:lang w:bidi="he-IL"/>
              </w:rPr>
              <w:t>הובטח כי משרד העבודה יקים עד חודש יוני 2019, קו חם טלפוני ואנטרנטי במינהל הבטיחות, לדיווחים על הפרות של כללי בטיחות בעבודה באתרי בניה.</w:t>
            </w:r>
          </w:p>
        </w:tc>
        <w:tc>
          <w:tcPr>
            <w:tcW w:w="4691" w:type="dxa"/>
          </w:tcPr>
          <w:p w14:paraId="467DD0ED" w14:textId="77777777" w:rsidR="006928ED" w:rsidRPr="00CD7A85" w:rsidRDefault="006928ED" w:rsidP="0041535C">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lang w:bidi="he-IL"/>
              </w:rPr>
            </w:pPr>
            <w:r w:rsidRPr="00CD7A85">
              <w:rPr>
                <w:rFonts w:asciiTheme="minorBidi" w:hAnsiTheme="minorBidi" w:cstheme="minorBidi"/>
                <w:b/>
                <w:bCs/>
                <w:sz w:val="22"/>
                <w:szCs w:val="22"/>
                <w:rtl/>
                <w:lang w:bidi="he-IL"/>
              </w:rPr>
              <w:t>לא בוצע.</w:t>
            </w:r>
            <w:r w:rsidRPr="00CD7A85">
              <w:rPr>
                <w:rFonts w:asciiTheme="minorBidi" w:hAnsiTheme="minorBidi" w:cstheme="minorBidi"/>
                <w:sz w:val="22"/>
                <w:szCs w:val="22"/>
                <w:rtl/>
                <w:lang w:bidi="he-IL"/>
              </w:rPr>
              <w:t xml:space="preserve"> משרד העבודה עדין נמצא בשלבים ראשוניים להקמת הקו, כפי </w:t>
            </w:r>
            <w:hyperlink r:id="rId14" w:history="1">
              <w:r w:rsidRPr="00CD7A85">
                <w:rPr>
                  <w:rStyle w:val="Hyperlink"/>
                  <w:rFonts w:asciiTheme="minorBidi" w:hAnsiTheme="minorBidi" w:cstheme="minorBidi"/>
                  <w:sz w:val="22"/>
                  <w:szCs w:val="22"/>
                  <w:rtl/>
                  <w:lang w:bidi="he-IL"/>
                </w:rPr>
                <w:t>שמסר לאחרונה לתקשורת</w:t>
              </w:r>
            </w:hyperlink>
            <w:r w:rsidRPr="00CD7A85">
              <w:rPr>
                <w:rFonts w:asciiTheme="minorBidi" w:hAnsiTheme="minorBidi" w:cstheme="minorBidi"/>
                <w:sz w:val="22"/>
                <w:szCs w:val="22"/>
                <w:rtl/>
                <w:lang w:bidi="he-IL"/>
              </w:rPr>
              <w:t xml:space="preserve">. </w:t>
            </w:r>
          </w:p>
        </w:tc>
      </w:tr>
      <w:tr w:rsidR="006928ED" w:rsidRPr="00CD7A85" w14:paraId="5C010F6E" w14:textId="77777777" w:rsidTr="006928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7" w:type="dxa"/>
          </w:tcPr>
          <w:p w14:paraId="150E402E" w14:textId="77777777" w:rsidR="006928ED" w:rsidRPr="00CD7A85" w:rsidRDefault="006928ED" w:rsidP="0041535C">
            <w:pPr>
              <w:tabs>
                <w:tab w:val="right" w:pos="5692"/>
              </w:tabs>
              <w:bidi/>
              <w:spacing w:line="360" w:lineRule="auto"/>
              <w:ind w:right="152"/>
              <w:jc w:val="both"/>
              <w:rPr>
                <w:rFonts w:asciiTheme="minorBidi" w:hAnsiTheme="minorBidi" w:cstheme="minorBidi"/>
                <w:sz w:val="22"/>
                <w:szCs w:val="22"/>
                <w:rtl/>
                <w:lang w:bidi="he-IL"/>
              </w:rPr>
            </w:pPr>
            <w:r w:rsidRPr="00CD7A85">
              <w:rPr>
                <w:rFonts w:asciiTheme="minorBidi" w:hAnsiTheme="minorBidi" w:cstheme="minorBidi"/>
                <w:sz w:val="22"/>
                <w:szCs w:val="22"/>
                <w:rtl/>
                <w:lang w:bidi="he-IL"/>
              </w:rPr>
              <w:t>עגורנאים יועסקו דרך חברות ייעודיות</w:t>
            </w:r>
          </w:p>
          <w:p w14:paraId="5EC0EEE3"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b w:val="0"/>
                <w:bCs w:val="0"/>
                <w:sz w:val="22"/>
                <w:szCs w:val="22"/>
                <w:rtl/>
                <w:lang w:bidi="he-IL"/>
              </w:rPr>
              <w:t xml:space="preserve">הובטח כי משרד העבודה יפעל לקידום הצעת חוק ממשלתית להעסקת מנופאים על ידי חברות ייעודיות. </w:t>
            </w:r>
          </w:p>
        </w:tc>
        <w:tc>
          <w:tcPr>
            <w:tcW w:w="4691" w:type="dxa"/>
          </w:tcPr>
          <w:p w14:paraId="2A9973ED" w14:textId="77777777" w:rsidR="006928ED" w:rsidRPr="00CD7A85" w:rsidRDefault="006928ED" w:rsidP="0041535C">
            <w:pPr>
              <w:tabs>
                <w:tab w:val="right" w:pos="5692"/>
              </w:tabs>
              <w:bidi/>
              <w:spacing w:line="360" w:lineRule="auto"/>
              <w:ind w:right="152"/>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22"/>
                <w:szCs w:val="22"/>
                <w:rtl/>
                <w:lang w:bidi="he-IL"/>
              </w:rPr>
            </w:pPr>
            <w:r w:rsidRPr="00CD7A85">
              <w:rPr>
                <w:rFonts w:asciiTheme="minorBidi" w:hAnsiTheme="minorBidi" w:cstheme="minorBidi"/>
                <w:b/>
                <w:bCs/>
                <w:sz w:val="22"/>
                <w:szCs w:val="22"/>
                <w:rtl/>
                <w:lang w:bidi="he-IL"/>
              </w:rPr>
              <w:t xml:space="preserve">בוצע. </w:t>
            </w:r>
            <w:r w:rsidRPr="00CD7A85">
              <w:rPr>
                <w:rFonts w:asciiTheme="minorBidi" w:hAnsiTheme="minorBidi" w:cstheme="minorBidi"/>
                <w:sz w:val="22"/>
                <w:szCs w:val="22"/>
                <w:rtl/>
                <w:lang w:bidi="he-IL"/>
              </w:rPr>
              <w:t xml:space="preserve">חקיקה עברה בסוף דצמבר 2018. </w:t>
            </w:r>
          </w:p>
        </w:tc>
      </w:tr>
      <w:tr w:rsidR="006928ED" w:rsidRPr="00CD7A85" w14:paraId="5ACE93BB" w14:textId="77777777" w:rsidTr="006928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7" w:type="dxa"/>
          </w:tcPr>
          <w:p w14:paraId="2FB9E1FA" w14:textId="77777777" w:rsidR="006928ED" w:rsidRPr="00CD7A85" w:rsidRDefault="006928ED" w:rsidP="0041535C">
            <w:pPr>
              <w:tabs>
                <w:tab w:val="right" w:pos="5692"/>
              </w:tabs>
              <w:bidi/>
              <w:spacing w:line="360" w:lineRule="auto"/>
              <w:ind w:right="152"/>
              <w:jc w:val="both"/>
              <w:rPr>
                <w:rFonts w:asciiTheme="minorBidi" w:hAnsiTheme="minorBidi" w:cstheme="minorBidi"/>
                <w:sz w:val="22"/>
                <w:szCs w:val="22"/>
                <w:rtl/>
                <w:lang w:bidi="he-IL"/>
              </w:rPr>
            </w:pPr>
            <w:r w:rsidRPr="00CD7A85">
              <w:rPr>
                <w:rFonts w:asciiTheme="minorBidi" w:hAnsiTheme="minorBidi" w:cstheme="minorBidi"/>
                <w:sz w:val="22"/>
                <w:szCs w:val="22"/>
                <w:rtl/>
                <w:lang w:bidi="he-IL"/>
              </w:rPr>
              <w:t>רשיונות למנופאים ומאגר לזיהוי</w:t>
            </w:r>
          </w:p>
          <w:p w14:paraId="091F06B2" w14:textId="77777777" w:rsidR="006928ED" w:rsidRPr="00CD7A85" w:rsidRDefault="006928ED" w:rsidP="0041535C">
            <w:pPr>
              <w:tabs>
                <w:tab w:val="right" w:pos="5692"/>
              </w:tabs>
              <w:bidi/>
              <w:spacing w:line="360" w:lineRule="auto"/>
              <w:ind w:right="152"/>
              <w:jc w:val="both"/>
              <w:rPr>
                <w:rFonts w:asciiTheme="minorBidi" w:hAnsiTheme="minorBidi" w:cstheme="minorBidi"/>
                <w:sz w:val="22"/>
                <w:szCs w:val="22"/>
                <w:rtl/>
                <w:lang w:bidi="he-IL"/>
              </w:rPr>
            </w:pPr>
            <w:r w:rsidRPr="00CD7A85">
              <w:rPr>
                <w:rFonts w:asciiTheme="minorBidi" w:hAnsiTheme="minorBidi" w:cstheme="minorBidi"/>
                <w:b w:val="0"/>
                <w:bCs w:val="0"/>
                <w:sz w:val="22"/>
                <w:szCs w:val="22"/>
                <w:rtl/>
                <w:lang w:bidi="he-IL"/>
              </w:rPr>
              <w:t xml:space="preserve">הובטח כי עד סוף הרבעון הראשון של 2019, תתאפשר כניסת מנהלי העבודה למאגר ממוחשב הכולל תמונות פנים, במטרה לזהות עגורנאי צריח מוסמכים לצורך מניעת זיופים. </w:t>
            </w:r>
          </w:p>
        </w:tc>
        <w:tc>
          <w:tcPr>
            <w:tcW w:w="4691" w:type="dxa"/>
          </w:tcPr>
          <w:p w14:paraId="06508A19" w14:textId="77777777" w:rsidR="006928ED" w:rsidRPr="00CD7A85" w:rsidRDefault="006928ED" w:rsidP="0041535C">
            <w:pPr>
              <w:tabs>
                <w:tab w:val="right" w:pos="5692"/>
              </w:tabs>
              <w:bidi/>
              <w:spacing w:line="360" w:lineRule="auto"/>
              <w:ind w:right="152"/>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lang w:bidi="he-IL"/>
              </w:rPr>
            </w:pPr>
            <w:r w:rsidRPr="00CD7A85">
              <w:rPr>
                <w:rFonts w:asciiTheme="minorBidi" w:hAnsiTheme="minorBidi" w:cstheme="minorBidi"/>
                <w:b/>
                <w:bCs/>
                <w:sz w:val="22"/>
                <w:szCs w:val="22"/>
                <w:rtl/>
                <w:lang w:bidi="he-IL"/>
              </w:rPr>
              <w:t>לא עמדו בלוחות הזמנים, השינוי נכנס לתוקף ב15.6</w:t>
            </w:r>
            <w:r w:rsidRPr="00CD7A85">
              <w:rPr>
                <w:rFonts w:asciiTheme="minorBidi" w:hAnsiTheme="minorBidi" w:cstheme="minorBidi"/>
                <w:sz w:val="22"/>
                <w:szCs w:val="22"/>
                <w:rtl/>
                <w:lang w:bidi="he-IL"/>
              </w:rPr>
              <w:t>. המאגר שהוקם לא כולל תמונות פנים, בניגוד למה שהובטח. הנחיה החדשה מחייבת נשיאת רשיונות נהיגה כאמצעי יחיד לזיהוי על ידי מנהל העבודה באתר. רשיונות חדשים יונפקו רק למי שאין להם רשיון נהיגה.</w:t>
            </w:r>
          </w:p>
        </w:tc>
      </w:tr>
      <w:tr w:rsidR="006928ED" w:rsidRPr="00CD7A85" w14:paraId="5937DF62" w14:textId="77777777" w:rsidTr="006928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7" w:type="dxa"/>
          </w:tcPr>
          <w:p w14:paraId="4206650B" w14:textId="77777777" w:rsidR="006928ED" w:rsidRPr="00CD7A85" w:rsidRDefault="006928ED" w:rsidP="0041535C">
            <w:pPr>
              <w:tabs>
                <w:tab w:val="right" w:pos="5692"/>
              </w:tabs>
              <w:bidi/>
              <w:spacing w:line="360" w:lineRule="auto"/>
              <w:ind w:right="152"/>
              <w:jc w:val="both"/>
              <w:rPr>
                <w:rFonts w:asciiTheme="minorBidi" w:hAnsiTheme="minorBidi" w:cstheme="minorBidi"/>
                <w:sz w:val="22"/>
                <w:szCs w:val="22"/>
                <w:rtl/>
                <w:lang w:bidi="he-IL"/>
              </w:rPr>
            </w:pPr>
            <w:r w:rsidRPr="00CD7A85">
              <w:rPr>
                <w:rFonts w:asciiTheme="minorBidi" w:hAnsiTheme="minorBidi" w:cstheme="minorBidi"/>
                <w:sz w:val="22"/>
                <w:szCs w:val="22"/>
                <w:rtl/>
                <w:lang w:bidi="he-IL"/>
              </w:rPr>
              <w:lastRenderedPageBreak/>
              <w:t>תיקוני חקיקה בענין תחזוקה ותקינות מנופים</w:t>
            </w:r>
          </w:p>
          <w:p w14:paraId="0A5F375C"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b w:val="0"/>
                <w:bCs w:val="0"/>
                <w:sz w:val="22"/>
                <w:szCs w:val="22"/>
                <w:rtl/>
                <w:lang w:bidi="he-IL"/>
              </w:rPr>
              <w:t>משרד העבודה יפעל להסדרת האחריות הסטטוטורית של כלל היבטי תחזוקת המנוף ותקינותו.</w:t>
            </w:r>
          </w:p>
        </w:tc>
        <w:tc>
          <w:tcPr>
            <w:tcW w:w="4691" w:type="dxa"/>
          </w:tcPr>
          <w:p w14:paraId="01DB682B" w14:textId="77777777" w:rsidR="006928ED" w:rsidRPr="00CD7A85" w:rsidRDefault="006928ED" w:rsidP="0041535C">
            <w:pPr>
              <w:bidi/>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bCs/>
                <w:sz w:val="22"/>
                <w:szCs w:val="22"/>
                <w:rtl/>
                <w:lang w:bidi="he-IL"/>
              </w:rPr>
            </w:pPr>
            <w:r w:rsidRPr="00CD7A85">
              <w:rPr>
                <w:rFonts w:asciiTheme="minorBidi" w:hAnsiTheme="minorBidi" w:cstheme="minorBidi"/>
                <w:b/>
                <w:bCs/>
                <w:sz w:val="22"/>
                <w:szCs w:val="22"/>
                <w:rtl/>
                <w:lang w:bidi="he-IL"/>
              </w:rPr>
              <w:t xml:space="preserve">לא בוצע. </w:t>
            </w:r>
          </w:p>
        </w:tc>
      </w:tr>
      <w:tr w:rsidR="006928ED" w:rsidRPr="00CD7A85" w14:paraId="0078F705" w14:textId="77777777" w:rsidTr="006928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7" w:type="dxa"/>
          </w:tcPr>
          <w:p w14:paraId="4F81A16C" w14:textId="77777777" w:rsidR="006928ED" w:rsidRPr="00CD7A85" w:rsidRDefault="006928ED" w:rsidP="0041535C">
            <w:pPr>
              <w:tabs>
                <w:tab w:val="right" w:pos="5692"/>
              </w:tabs>
              <w:bidi/>
              <w:spacing w:line="360" w:lineRule="auto"/>
              <w:ind w:right="152"/>
              <w:jc w:val="both"/>
              <w:rPr>
                <w:rFonts w:asciiTheme="minorBidi" w:hAnsiTheme="minorBidi" w:cstheme="minorBidi"/>
                <w:sz w:val="22"/>
                <w:szCs w:val="22"/>
                <w:rtl/>
                <w:lang w:bidi="he-IL"/>
              </w:rPr>
            </w:pPr>
            <w:r w:rsidRPr="00CD7A85">
              <w:rPr>
                <w:rFonts w:asciiTheme="minorBidi" w:hAnsiTheme="minorBidi" w:cstheme="minorBidi"/>
                <w:sz w:val="22"/>
                <w:szCs w:val="22"/>
                <w:rtl/>
                <w:lang w:bidi="he-IL"/>
              </w:rPr>
              <w:t>קריטריונים חדשים להרחבת מספר בודקי המנופים</w:t>
            </w:r>
          </w:p>
          <w:p w14:paraId="3B1A8F84"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b w:val="0"/>
                <w:bCs w:val="0"/>
                <w:sz w:val="22"/>
                <w:szCs w:val="22"/>
                <w:rtl/>
                <w:lang w:bidi="he-IL"/>
              </w:rPr>
              <w:t>משרד העבודה יפעל לקביעת קריטריונים חדשים שיבטיחות הרחבת מספר בודקי המנופים המוסמכים בישראל.</w:t>
            </w:r>
          </w:p>
        </w:tc>
        <w:tc>
          <w:tcPr>
            <w:tcW w:w="4691" w:type="dxa"/>
          </w:tcPr>
          <w:p w14:paraId="05008848" w14:textId="77777777" w:rsidR="006928ED" w:rsidRPr="00CD7A85" w:rsidRDefault="006928ED" w:rsidP="0041535C">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lang w:bidi="he-IL"/>
              </w:rPr>
            </w:pPr>
            <w:r w:rsidRPr="00CD7A85">
              <w:rPr>
                <w:rFonts w:asciiTheme="minorBidi" w:hAnsiTheme="minorBidi" w:cstheme="minorBidi"/>
                <w:b/>
                <w:bCs/>
                <w:sz w:val="22"/>
                <w:szCs w:val="22"/>
                <w:rtl/>
                <w:lang w:bidi="he-IL"/>
              </w:rPr>
              <w:t>לא נקבעו קריטריונים חדשים</w:t>
            </w:r>
            <w:r w:rsidRPr="00CD7A85">
              <w:rPr>
                <w:rFonts w:asciiTheme="minorBidi" w:hAnsiTheme="minorBidi" w:cstheme="minorBidi"/>
                <w:sz w:val="22"/>
                <w:szCs w:val="22"/>
                <w:rtl/>
                <w:lang w:bidi="he-IL"/>
              </w:rPr>
              <w:t xml:space="preserve"> אך משרד העבודה טען לאחרונה שהצליח להעלות את מספר הבודקים מ-6 ל-13 בודקים.</w:t>
            </w:r>
          </w:p>
        </w:tc>
      </w:tr>
      <w:tr w:rsidR="006928ED" w:rsidRPr="00CD7A85" w14:paraId="6026EFC6" w14:textId="77777777" w:rsidTr="006928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7" w:type="dxa"/>
          </w:tcPr>
          <w:p w14:paraId="3BA92B85" w14:textId="77777777" w:rsidR="006928ED" w:rsidRPr="00CD7A85" w:rsidRDefault="006928ED" w:rsidP="0041535C">
            <w:pPr>
              <w:tabs>
                <w:tab w:val="right" w:pos="5692"/>
              </w:tabs>
              <w:bidi/>
              <w:spacing w:line="360" w:lineRule="auto"/>
              <w:ind w:right="152"/>
              <w:jc w:val="both"/>
              <w:rPr>
                <w:rFonts w:asciiTheme="minorBidi" w:hAnsiTheme="minorBidi" w:cstheme="minorBidi"/>
                <w:sz w:val="22"/>
                <w:szCs w:val="22"/>
                <w:rtl/>
                <w:lang w:bidi="he-IL"/>
              </w:rPr>
            </w:pPr>
            <w:r w:rsidRPr="00CD7A85">
              <w:rPr>
                <w:rFonts w:asciiTheme="minorBidi" w:hAnsiTheme="minorBidi" w:cstheme="minorBidi"/>
                <w:sz w:val="22"/>
                <w:szCs w:val="22"/>
                <w:rtl/>
                <w:lang w:bidi="he-IL"/>
              </w:rPr>
              <w:t>אתתים</w:t>
            </w:r>
          </w:p>
          <w:p w14:paraId="63F769B4"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ar-LB"/>
              </w:rPr>
            </w:pPr>
            <w:r w:rsidRPr="00CD7A85">
              <w:rPr>
                <w:rFonts w:asciiTheme="minorBidi" w:hAnsiTheme="minorBidi" w:cstheme="minorBidi"/>
                <w:b w:val="0"/>
                <w:bCs w:val="0"/>
                <w:sz w:val="22"/>
                <w:szCs w:val="22"/>
                <w:rtl/>
                <w:lang w:bidi="he-IL"/>
              </w:rPr>
              <w:t>משרד העבודה יגביר את הפיקוח להבטחת היות האתתים באתרי הבנייה מוסמכים כדין.</w:t>
            </w:r>
          </w:p>
        </w:tc>
        <w:tc>
          <w:tcPr>
            <w:tcW w:w="4691" w:type="dxa"/>
          </w:tcPr>
          <w:p w14:paraId="259F0246" w14:textId="77777777" w:rsidR="006928ED" w:rsidRPr="00CD7A85" w:rsidRDefault="006928ED" w:rsidP="0041535C">
            <w:pPr>
              <w:bidi/>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bCs/>
                <w:sz w:val="22"/>
                <w:szCs w:val="22"/>
                <w:rtl/>
                <w:lang w:bidi="he-IL"/>
              </w:rPr>
            </w:pPr>
            <w:r w:rsidRPr="00CD7A85">
              <w:rPr>
                <w:rFonts w:asciiTheme="minorBidi" w:hAnsiTheme="minorBidi" w:cstheme="minorBidi"/>
                <w:b/>
                <w:bCs/>
                <w:sz w:val="22"/>
                <w:szCs w:val="22"/>
                <w:rtl/>
                <w:lang w:bidi="he-IL"/>
              </w:rPr>
              <w:t>לא בוצע.</w:t>
            </w:r>
          </w:p>
        </w:tc>
      </w:tr>
      <w:tr w:rsidR="006928ED" w:rsidRPr="00CD7A85" w14:paraId="08741D18" w14:textId="77777777" w:rsidTr="006928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7" w:type="dxa"/>
          </w:tcPr>
          <w:p w14:paraId="50C96F8C" w14:textId="77777777" w:rsidR="006928ED" w:rsidRPr="00CD7A85" w:rsidRDefault="006928ED" w:rsidP="0041535C">
            <w:pPr>
              <w:tabs>
                <w:tab w:val="right" w:pos="5692"/>
              </w:tabs>
              <w:bidi/>
              <w:spacing w:line="360" w:lineRule="auto"/>
              <w:ind w:right="152"/>
              <w:jc w:val="both"/>
              <w:rPr>
                <w:rFonts w:asciiTheme="minorBidi" w:hAnsiTheme="minorBidi" w:cstheme="minorBidi"/>
                <w:sz w:val="22"/>
                <w:szCs w:val="22"/>
                <w:rtl/>
                <w:lang w:bidi="he-IL"/>
              </w:rPr>
            </w:pPr>
            <w:r w:rsidRPr="00CD7A85">
              <w:rPr>
                <w:rFonts w:asciiTheme="minorBidi" w:hAnsiTheme="minorBidi" w:cstheme="minorBidi"/>
                <w:sz w:val="22"/>
                <w:szCs w:val="22"/>
                <w:rtl/>
                <w:lang w:bidi="he-IL"/>
              </w:rPr>
              <w:t>השתלמות בטיחות בסיסית לעובדים</w:t>
            </w:r>
          </w:p>
          <w:p w14:paraId="5AC927EC"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b w:val="0"/>
                <w:bCs w:val="0"/>
                <w:sz w:val="22"/>
                <w:szCs w:val="22"/>
                <w:rtl/>
                <w:lang w:bidi="he-IL"/>
              </w:rPr>
              <w:t>מנהל הבטיחות יגבש ויאכוף החלת חובת השתלמות בטיחות בסיסית, לכל עובד באתרי הבנייה תוך קביעת גופים המורשים לבצע את ההשתלמות. ביצוע ההשתלמות יהא באחריות ומימון המעסיקים.</w:t>
            </w:r>
          </w:p>
        </w:tc>
        <w:tc>
          <w:tcPr>
            <w:tcW w:w="4691" w:type="dxa"/>
          </w:tcPr>
          <w:p w14:paraId="720D6F4F" w14:textId="77777777" w:rsidR="006928ED" w:rsidRPr="00CD7A85" w:rsidRDefault="006928ED" w:rsidP="0041535C">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tl/>
                <w:lang w:bidi="he-IL"/>
              </w:rPr>
            </w:pPr>
            <w:r w:rsidRPr="00CD7A85">
              <w:rPr>
                <w:rFonts w:asciiTheme="minorBidi" w:hAnsiTheme="minorBidi" w:cstheme="minorBidi"/>
                <w:b/>
                <w:bCs/>
                <w:sz w:val="22"/>
                <w:szCs w:val="22"/>
                <w:rtl/>
                <w:lang w:bidi="he-IL"/>
              </w:rPr>
              <w:t>לא בוצע.</w:t>
            </w:r>
          </w:p>
        </w:tc>
      </w:tr>
      <w:tr w:rsidR="006928ED" w:rsidRPr="00CD7A85" w14:paraId="455FB2DC" w14:textId="77777777" w:rsidTr="006928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7" w:type="dxa"/>
          </w:tcPr>
          <w:p w14:paraId="698CCAB4" w14:textId="77777777" w:rsidR="006928ED" w:rsidRPr="00CD7A85" w:rsidRDefault="006928ED" w:rsidP="0041535C">
            <w:pPr>
              <w:tabs>
                <w:tab w:val="right" w:pos="5692"/>
              </w:tabs>
              <w:bidi/>
              <w:spacing w:line="360" w:lineRule="auto"/>
              <w:ind w:right="152"/>
              <w:jc w:val="both"/>
              <w:rPr>
                <w:rFonts w:asciiTheme="minorBidi" w:hAnsiTheme="minorBidi" w:cstheme="minorBidi"/>
                <w:sz w:val="22"/>
                <w:szCs w:val="22"/>
                <w:rtl/>
                <w:lang w:bidi="he-IL"/>
              </w:rPr>
            </w:pPr>
            <w:r w:rsidRPr="00CD7A85">
              <w:rPr>
                <w:rFonts w:asciiTheme="minorBidi" w:hAnsiTheme="minorBidi" w:cstheme="minorBidi"/>
                <w:sz w:val="22"/>
                <w:szCs w:val="22"/>
                <w:rtl/>
                <w:lang w:bidi="he-IL"/>
              </w:rPr>
              <w:t>עוזרי בטיחות</w:t>
            </w:r>
          </w:p>
          <w:p w14:paraId="594942F1"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b w:val="0"/>
                <w:bCs w:val="0"/>
                <w:sz w:val="22"/>
                <w:szCs w:val="22"/>
                <w:rtl/>
                <w:lang w:bidi="he-IL"/>
              </w:rPr>
              <w:t>משרד העבודה יקדם הצעת החוק למינוי עוזרי בטיחות, שתפקידם לסייע בתחום הבטיחות למנהלי העבודה באתרי בניה גדולים.</w:t>
            </w:r>
          </w:p>
        </w:tc>
        <w:tc>
          <w:tcPr>
            <w:tcW w:w="4691" w:type="dxa"/>
          </w:tcPr>
          <w:p w14:paraId="6A99F270" w14:textId="77777777" w:rsidR="006928ED" w:rsidRPr="00CD7A85" w:rsidRDefault="006928ED" w:rsidP="0041535C">
            <w:pPr>
              <w:bidi/>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bCs/>
                <w:sz w:val="22"/>
                <w:szCs w:val="22"/>
                <w:rtl/>
                <w:lang w:bidi="he-IL"/>
              </w:rPr>
            </w:pPr>
            <w:r w:rsidRPr="00CD7A85">
              <w:rPr>
                <w:rFonts w:asciiTheme="minorBidi" w:hAnsiTheme="minorBidi" w:cstheme="minorBidi"/>
                <w:b/>
                <w:bCs/>
                <w:sz w:val="22"/>
                <w:szCs w:val="22"/>
                <w:rtl/>
                <w:lang w:bidi="he-IL"/>
              </w:rPr>
              <w:t>שינוי חקיקתי בוצע</w:t>
            </w:r>
            <w:r w:rsidR="00072950" w:rsidRPr="00CD7A85">
              <w:rPr>
                <w:rFonts w:asciiTheme="minorBidi" w:hAnsiTheme="minorBidi" w:cstheme="minorBidi"/>
                <w:b/>
                <w:bCs/>
                <w:sz w:val="22"/>
                <w:szCs w:val="22"/>
                <w:rtl/>
                <w:lang w:bidi="he-IL"/>
              </w:rPr>
              <w:t xml:space="preserve"> והחוק נכנס לתוקף</w:t>
            </w:r>
            <w:r w:rsidRPr="00CD7A85">
              <w:rPr>
                <w:rFonts w:asciiTheme="minorBidi" w:hAnsiTheme="minorBidi" w:cstheme="minorBidi"/>
                <w:b/>
                <w:bCs/>
                <w:sz w:val="22"/>
                <w:szCs w:val="22"/>
                <w:rtl/>
                <w:lang w:bidi="he-IL"/>
              </w:rPr>
              <w:t xml:space="preserve"> אך </w:t>
            </w:r>
            <w:r w:rsidR="00072950" w:rsidRPr="00CD7A85">
              <w:rPr>
                <w:rFonts w:asciiTheme="minorBidi" w:hAnsiTheme="minorBidi" w:cstheme="minorBidi"/>
                <w:b/>
                <w:bCs/>
                <w:sz w:val="22"/>
                <w:szCs w:val="22"/>
                <w:rtl/>
                <w:lang w:bidi="he-IL"/>
              </w:rPr>
              <w:t>מספר העובדים שהוכשרו לתפקיד מהווים כ10% בלבד מהדרוש.</w:t>
            </w:r>
          </w:p>
          <w:p w14:paraId="2EF69931" w14:textId="77777777" w:rsidR="006928ED" w:rsidRPr="00CD7A85" w:rsidRDefault="006928ED" w:rsidP="0041535C">
            <w:pPr>
              <w:bidi/>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22"/>
                <w:szCs w:val="22"/>
                <w:rtl/>
                <w:lang w:bidi="he-IL"/>
              </w:rPr>
            </w:pPr>
            <w:r w:rsidRPr="00CD7A85">
              <w:rPr>
                <w:rFonts w:asciiTheme="minorBidi" w:hAnsiTheme="minorBidi" w:cstheme="minorBidi"/>
                <w:sz w:val="22"/>
                <w:szCs w:val="22"/>
                <w:rtl/>
                <w:lang w:bidi="he-IL"/>
              </w:rPr>
              <w:t>החוק עבר ונכנס לתוקף ב- 28.5.2019.</w:t>
            </w:r>
            <w:r w:rsidR="00072950" w:rsidRPr="00CD7A85">
              <w:rPr>
                <w:rFonts w:asciiTheme="minorBidi" w:hAnsiTheme="minorBidi" w:cstheme="minorBidi"/>
                <w:sz w:val="22"/>
                <w:szCs w:val="22"/>
                <w:rtl/>
                <w:lang w:bidi="he-IL"/>
              </w:rPr>
              <w:t xml:space="preserve"> </w:t>
            </w:r>
            <w:r w:rsidRPr="00CD7A85">
              <w:rPr>
                <w:rFonts w:asciiTheme="minorBidi" w:hAnsiTheme="minorBidi" w:cstheme="minorBidi"/>
                <w:sz w:val="22"/>
                <w:szCs w:val="22"/>
                <w:rtl/>
                <w:lang w:bidi="he-IL"/>
              </w:rPr>
              <w:t>החוק חל על אתר בניה שבו מוקם מבנה שגובהו מעל 7 מ' ושטחו גדול מאלף</w:t>
            </w:r>
            <w:r w:rsidRPr="00CD7A85">
              <w:rPr>
                <w:rFonts w:asciiTheme="minorBidi" w:hAnsiTheme="minorBidi" w:cstheme="minorBidi"/>
                <w:sz w:val="22"/>
                <w:szCs w:val="22"/>
                <w:rtl/>
              </w:rPr>
              <w:t xml:space="preserve"> </w:t>
            </w:r>
            <w:r w:rsidRPr="00CD7A85">
              <w:rPr>
                <w:rFonts w:asciiTheme="minorBidi" w:hAnsiTheme="minorBidi" w:cstheme="minorBidi"/>
                <w:sz w:val="22"/>
                <w:szCs w:val="22"/>
                <w:rtl/>
                <w:lang w:bidi="he-IL"/>
              </w:rPr>
              <w:t>מ</w:t>
            </w:r>
            <w:r w:rsidRPr="00CD7A85">
              <w:rPr>
                <w:rFonts w:asciiTheme="minorBidi" w:hAnsiTheme="minorBidi" w:cstheme="minorBidi"/>
                <w:sz w:val="22"/>
                <w:szCs w:val="22"/>
                <w:rtl/>
              </w:rPr>
              <w:t>"</w:t>
            </w:r>
            <w:r w:rsidRPr="00CD7A85">
              <w:rPr>
                <w:rFonts w:asciiTheme="minorBidi" w:hAnsiTheme="minorBidi" w:cstheme="minorBidi"/>
                <w:sz w:val="22"/>
                <w:szCs w:val="22"/>
                <w:rtl/>
                <w:lang w:bidi="he-IL"/>
              </w:rPr>
              <w:t>ר</w:t>
            </w:r>
            <w:r w:rsidRPr="00CD7A85">
              <w:rPr>
                <w:rFonts w:asciiTheme="minorBidi" w:hAnsiTheme="minorBidi" w:cstheme="minorBidi"/>
                <w:sz w:val="22"/>
                <w:szCs w:val="22"/>
                <w:lang w:bidi="he-IL"/>
              </w:rPr>
              <w:t>.</w:t>
            </w:r>
            <w:r w:rsidRPr="00CD7A85">
              <w:rPr>
                <w:rFonts w:asciiTheme="minorBidi" w:hAnsiTheme="minorBidi" w:cstheme="minorBidi"/>
                <w:sz w:val="22"/>
                <w:szCs w:val="22"/>
                <w:rtl/>
                <w:lang w:bidi="he-IL"/>
              </w:rPr>
              <w:t xml:space="preserve"> לשם כך דרושים </w:t>
            </w:r>
            <w:r w:rsidR="00072950" w:rsidRPr="00CD7A85">
              <w:rPr>
                <w:rFonts w:asciiTheme="minorBidi" w:hAnsiTheme="minorBidi" w:cstheme="minorBidi"/>
                <w:sz w:val="22"/>
                <w:szCs w:val="22"/>
                <w:rtl/>
                <w:lang w:bidi="he-IL"/>
              </w:rPr>
              <w:t xml:space="preserve">למשק </w:t>
            </w:r>
            <w:r w:rsidRPr="00CD7A85">
              <w:rPr>
                <w:rFonts w:asciiTheme="minorBidi" w:hAnsiTheme="minorBidi" w:cstheme="minorBidi"/>
                <w:sz w:val="22"/>
                <w:szCs w:val="22"/>
                <w:rtl/>
                <w:lang w:bidi="he-IL"/>
              </w:rPr>
              <w:t>כ-</w:t>
            </w:r>
            <w:r w:rsidR="00072950" w:rsidRPr="00CD7A85">
              <w:rPr>
                <w:rFonts w:asciiTheme="minorBidi" w:hAnsiTheme="minorBidi" w:cstheme="minorBidi"/>
                <w:sz w:val="22"/>
                <w:szCs w:val="22"/>
                <w:rtl/>
                <w:lang w:bidi="he-IL"/>
              </w:rPr>
              <w:t>8000</w:t>
            </w:r>
            <w:r w:rsidRPr="00CD7A85">
              <w:rPr>
                <w:rFonts w:asciiTheme="minorBidi" w:hAnsiTheme="minorBidi" w:cstheme="minorBidi"/>
                <w:sz w:val="22"/>
                <w:szCs w:val="22"/>
                <w:rtl/>
                <w:lang w:bidi="he-IL"/>
              </w:rPr>
              <w:t xml:space="preserve"> עוזרים.</w:t>
            </w:r>
            <w:r w:rsidR="00072950" w:rsidRPr="00CD7A85">
              <w:rPr>
                <w:rFonts w:asciiTheme="minorBidi" w:hAnsiTheme="minorBidi" w:cstheme="minorBidi"/>
                <w:sz w:val="22"/>
                <w:szCs w:val="22"/>
                <w:rtl/>
                <w:lang w:bidi="he-IL"/>
              </w:rPr>
              <w:t xml:space="preserve"> כחודש לאחר שנכנס החוק לתוקף </w:t>
            </w:r>
            <w:hyperlink r:id="rId15" w:history="1">
              <w:r w:rsidR="00072950" w:rsidRPr="00CD7A85">
                <w:rPr>
                  <w:rStyle w:val="Hyperlink"/>
                  <w:rFonts w:asciiTheme="minorBidi" w:hAnsiTheme="minorBidi" w:cstheme="minorBidi"/>
                  <w:sz w:val="22"/>
                  <w:szCs w:val="22"/>
                  <w:rtl/>
                  <w:lang w:bidi="he-IL"/>
                </w:rPr>
                <w:t>נמסר לתקשורת</w:t>
              </w:r>
            </w:hyperlink>
            <w:r w:rsidR="00072950" w:rsidRPr="00CD7A85">
              <w:rPr>
                <w:rFonts w:asciiTheme="minorBidi" w:hAnsiTheme="minorBidi" w:cstheme="minorBidi"/>
                <w:sz w:val="22"/>
                <w:szCs w:val="22"/>
                <w:rtl/>
                <w:lang w:bidi="he-IL"/>
              </w:rPr>
              <w:t xml:space="preserve"> כי רק 900 עובדים הוכשרו לתפקיד עוזר בטיחות, בשל איחור משרד העבודה בהגשת תוכנית ההכשרה.</w:t>
            </w:r>
            <w:r w:rsidRPr="00CD7A85">
              <w:rPr>
                <w:rFonts w:asciiTheme="minorBidi" w:hAnsiTheme="minorBidi" w:cstheme="minorBidi"/>
                <w:sz w:val="22"/>
                <w:szCs w:val="22"/>
                <w:rtl/>
                <w:lang w:bidi="he-IL"/>
              </w:rPr>
              <w:t xml:space="preserve"> </w:t>
            </w:r>
          </w:p>
        </w:tc>
      </w:tr>
      <w:tr w:rsidR="006928ED" w:rsidRPr="00CD7A85" w14:paraId="7D135D2C" w14:textId="77777777" w:rsidTr="006928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7" w:type="dxa"/>
          </w:tcPr>
          <w:p w14:paraId="035D7565"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sz w:val="22"/>
                <w:szCs w:val="22"/>
                <w:rtl/>
                <w:lang w:bidi="he-IL"/>
              </w:rPr>
              <w:t>ממוני בטיחות בחברות גדולות</w:t>
            </w:r>
          </w:p>
          <w:p w14:paraId="336D6481"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b w:val="0"/>
                <w:bCs w:val="0"/>
                <w:sz w:val="22"/>
                <w:szCs w:val="22"/>
                <w:rtl/>
                <w:lang w:bidi="he-IL"/>
              </w:rPr>
              <w:t>הובטח כי מבצע בניה הרשום כקבלן בסיווג ג5, יהיה חייב במינוי ממונה בטיחות במשרה מלאה.</w:t>
            </w:r>
          </w:p>
        </w:tc>
        <w:tc>
          <w:tcPr>
            <w:tcW w:w="4691" w:type="dxa"/>
          </w:tcPr>
          <w:p w14:paraId="06B58747" w14:textId="77777777" w:rsidR="006928ED" w:rsidRPr="00CD7A85" w:rsidRDefault="006928ED" w:rsidP="0041535C">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tl/>
                <w:lang w:bidi="he-IL"/>
              </w:rPr>
            </w:pPr>
            <w:r w:rsidRPr="00CD7A85">
              <w:rPr>
                <w:rFonts w:asciiTheme="minorBidi" w:hAnsiTheme="minorBidi" w:cstheme="minorBidi"/>
                <w:b/>
                <w:bCs/>
                <w:sz w:val="22"/>
                <w:szCs w:val="22"/>
                <w:rtl/>
                <w:lang w:bidi="he-IL"/>
              </w:rPr>
              <w:t xml:space="preserve">לא ידוע על ביצוע. </w:t>
            </w:r>
          </w:p>
        </w:tc>
      </w:tr>
      <w:tr w:rsidR="006928ED" w:rsidRPr="00CD7A85" w14:paraId="06A7CA98" w14:textId="77777777" w:rsidTr="006928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7" w:type="dxa"/>
          </w:tcPr>
          <w:p w14:paraId="6AEA4B88"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sz w:val="22"/>
                <w:szCs w:val="22"/>
                <w:rtl/>
                <w:lang w:bidi="he-IL"/>
              </w:rPr>
              <w:t>הרחבת מעל האחריות שיכלול מזמין עבודה</w:t>
            </w:r>
          </w:p>
          <w:p w14:paraId="396085A3"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b w:val="0"/>
                <w:bCs w:val="0"/>
                <w:sz w:val="22"/>
                <w:szCs w:val="22"/>
                <w:rtl/>
                <w:lang w:bidi="he-IL"/>
              </w:rPr>
              <w:t>הובטח כי שר העבודה יקדם תיקון חקיקה שירחיב את מעגל האחריות לתחום הבטיחות ויכלול את מזמין עבודת הבנייה.</w:t>
            </w:r>
          </w:p>
        </w:tc>
        <w:tc>
          <w:tcPr>
            <w:tcW w:w="4691" w:type="dxa"/>
          </w:tcPr>
          <w:p w14:paraId="46F380FA" w14:textId="77777777" w:rsidR="006928ED" w:rsidRPr="00CD7A85" w:rsidRDefault="006928ED" w:rsidP="0041535C">
            <w:pPr>
              <w:bidi/>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22"/>
                <w:szCs w:val="22"/>
                <w:rtl/>
                <w:lang w:bidi="he-IL"/>
              </w:rPr>
            </w:pPr>
            <w:r w:rsidRPr="00CD7A85">
              <w:rPr>
                <w:rFonts w:asciiTheme="minorBidi" w:hAnsiTheme="minorBidi" w:cstheme="minorBidi"/>
                <w:b/>
                <w:bCs/>
                <w:sz w:val="22"/>
                <w:szCs w:val="22"/>
                <w:rtl/>
                <w:lang w:bidi="he-IL"/>
              </w:rPr>
              <w:t xml:space="preserve">לא בוצע. </w:t>
            </w:r>
          </w:p>
        </w:tc>
      </w:tr>
      <w:tr w:rsidR="006928ED" w:rsidRPr="00CD7A85" w14:paraId="3D0582C8" w14:textId="77777777" w:rsidTr="006928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7" w:type="dxa"/>
          </w:tcPr>
          <w:p w14:paraId="6E13DF8A"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sz w:val="22"/>
                <w:szCs w:val="22"/>
                <w:rtl/>
                <w:lang w:bidi="he-IL"/>
              </w:rPr>
              <w:lastRenderedPageBreak/>
              <w:t>אכיפת חוק שעות עבודה באתרי הבניה</w:t>
            </w:r>
          </w:p>
          <w:p w14:paraId="0B73A56D"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b w:val="0"/>
                <w:bCs w:val="0"/>
                <w:sz w:val="22"/>
                <w:szCs w:val="22"/>
                <w:rtl/>
                <w:lang w:bidi="he-IL"/>
              </w:rPr>
              <w:t>הובטח כי משרד העבודה יקיים מבצע אכיפה מוגברת להבטחת הקפדה על תקרת שעות העבודה המותרות לפי דין באתרי בניה, לרבת של עגורנאים, כדי לצמצם מקרים של תאונות המתרחשות עקב עייפות עובדים באתר.</w:t>
            </w:r>
          </w:p>
        </w:tc>
        <w:tc>
          <w:tcPr>
            <w:tcW w:w="4691" w:type="dxa"/>
          </w:tcPr>
          <w:p w14:paraId="6E9DF679" w14:textId="77777777" w:rsidR="006928ED" w:rsidRPr="00CD7A85" w:rsidRDefault="006928ED" w:rsidP="0041535C">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lang w:bidi="he-IL"/>
              </w:rPr>
            </w:pPr>
            <w:r w:rsidRPr="00CD7A85">
              <w:rPr>
                <w:rFonts w:asciiTheme="minorBidi" w:hAnsiTheme="minorBidi" w:cstheme="minorBidi"/>
                <w:b/>
                <w:bCs/>
                <w:sz w:val="22"/>
                <w:szCs w:val="22"/>
                <w:rtl/>
                <w:lang w:bidi="he-IL"/>
              </w:rPr>
              <w:t xml:space="preserve">לא בוצע. </w:t>
            </w:r>
          </w:p>
        </w:tc>
      </w:tr>
      <w:tr w:rsidR="006928ED" w:rsidRPr="00CD7A85" w14:paraId="0898817F" w14:textId="77777777" w:rsidTr="006928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7" w:type="dxa"/>
          </w:tcPr>
          <w:p w14:paraId="17771231"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sz w:val="22"/>
                <w:szCs w:val="22"/>
                <w:rtl/>
                <w:lang w:bidi="he-IL"/>
              </w:rPr>
              <w:t>משרד הבינוי והשיכון / רשם הקבלנים</w:t>
            </w:r>
          </w:p>
          <w:p w14:paraId="4E01ABFB"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b w:val="0"/>
                <w:bCs w:val="0"/>
                <w:sz w:val="22"/>
                <w:szCs w:val="22"/>
                <w:rtl/>
                <w:lang w:bidi="he-IL"/>
              </w:rPr>
              <w:t>הובטח כי משרד הבינוי יקדם תיקון לחוק רישום קבלנים, שירחיב את סמכויות רשם הקבלנים לפתוח בהליכי משמעת נגד קבלנים שהפרו כללי בטיחות, בהתאם להמלצת מנהל הבטיחות במשרד העבודה, וכן סמכות התליית רשיון מיידית בנסיבות חמורות.</w:t>
            </w:r>
          </w:p>
        </w:tc>
        <w:tc>
          <w:tcPr>
            <w:tcW w:w="4691" w:type="dxa"/>
          </w:tcPr>
          <w:p w14:paraId="312F8F48" w14:textId="77777777" w:rsidR="006928ED" w:rsidRPr="00CD7A85" w:rsidRDefault="006928ED" w:rsidP="0041535C">
            <w:pPr>
              <w:bidi/>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22"/>
                <w:szCs w:val="22"/>
                <w:rtl/>
                <w:lang w:bidi="he-IL"/>
              </w:rPr>
            </w:pPr>
            <w:r w:rsidRPr="00CD7A85">
              <w:rPr>
                <w:rFonts w:asciiTheme="minorBidi" w:hAnsiTheme="minorBidi" w:cstheme="minorBidi"/>
                <w:b/>
                <w:bCs/>
                <w:sz w:val="22"/>
                <w:szCs w:val="22"/>
                <w:rtl/>
                <w:lang w:bidi="he-IL"/>
              </w:rPr>
              <w:t xml:space="preserve">לא בוצע. </w:t>
            </w:r>
            <w:r w:rsidRPr="00CD7A85">
              <w:rPr>
                <w:rFonts w:asciiTheme="minorBidi" w:hAnsiTheme="minorBidi" w:cstheme="minorBidi"/>
                <w:sz w:val="22"/>
                <w:szCs w:val="22"/>
                <w:rtl/>
                <w:lang w:bidi="he-IL"/>
              </w:rPr>
              <w:t>פורסמה הצעת חוק לעיון הציבור, אך לא קודמה בשל פיזור הכנסת.</w:t>
            </w:r>
          </w:p>
        </w:tc>
      </w:tr>
      <w:tr w:rsidR="006928ED" w:rsidRPr="00CD7A85" w14:paraId="27A08AD2" w14:textId="77777777" w:rsidTr="006928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7" w:type="dxa"/>
          </w:tcPr>
          <w:p w14:paraId="5DAC8B6C"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sz w:val="22"/>
                <w:szCs w:val="22"/>
                <w:rtl/>
                <w:lang w:bidi="he-IL"/>
              </w:rPr>
              <w:t>משרד האוצר / מכרזים ציבוריים</w:t>
            </w:r>
          </w:p>
          <w:p w14:paraId="3F6DA778"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b w:val="0"/>
                <w:bCs w:val="0"/>
                <w:sz w:val="22"/>
                <w:szCs w:val="22"/>
                <w:rtl/>
                <w:lang w:bidi="he-IL"/>
              </w:rPr>
              <w:t>החשב הכלכלי יפרסם תוך 30 יום, הוראת תכ"מ שתחייב הכללת מפרט בטיחות במכרזי בינוי ותשתית של הממשלה, כפי שיעודכן מעת לעת, ואשר יכלול בין היתר חובת התקנת רשתות מגן לעבודה בגובה.</w:t>
            </w:r>
          </w:p>
          <w:p w14:paraId="6CBE7C62" w14:textId="77777777" w:rsidR="006928ED" w:rsidRPr="00CD7A85" w:rsidRDefault="006928ED" w:rsidP="0041535C">
            <w:pPr>
              <w:tabs>
                <w:tab w:val="right" w:pos="5692"/>
              </w:tabs>
              <w:bidi/>
              <w:spacing w:line="360" w:lineRule="auto"/>
              <w:ind w:right="152"/>
              <w:jc w:val="both"/>
              <w:rPr>
                <w:rFonts w:asciiTheme="minorBidi" w:hAnsiTheme="minorBidi" w:cstheme="minorBidi"/>
                <w:b w:val="0"/>
                <w:bCs w:val="0"/>
                <w:sz w:val="22"/>
                <w:szCs w:val="22"/>
                <w:rtl/>
                <w:lang w:bidi="he-IL"/>
              </w:rPr>
            </w:pPr>
            <w:r w:rsidRPr="00CD7A85">
              <w:rPr>
                <w:rFonts w:asciiTheme="minorBidi" w:hAnsiTheme="minorBidi" w:cstheme="minorBidi"/>
                <w:b w:val="0"/>
                <w:bCs w:val="0"/>
                <w:sz w:val="22"/>
                <w:szCs w:val="22"/>
                <w:rtl/>
                <w:lang w:bidi="he-IL"/>
              </w:rPr>
              <w:t>החשב הכללי יגבש ויפעיל, במהלך 30 הימים הקרובים בהיוועצות עם מינהל הבטיחות, תנאים להכרה כקבלן מוכר לעבודות בנייה עבור הממשלה, על בסיס הפרות בטיחות קודמות של הקבלן.</w:t>
            </w:r>
          </w:p>
        </w:tc>
        <w:tc>
          <w:tcPr>
            <w:tcW w:w="4691" w:type="dxa"/>
          </w:tcPr>
          <w:p w14:paraId="62B6BAFA" w14:textId="77777777" w:rsidR="006928ED" w:rsidRPr="00CD7A85" w:rsidRDefault="006928ED" w:rsidP="0041535C">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tl/>
                <w:lang w:bidi="he-IL"/>
              </w:rPr>
            </w:pPr>
            <w:r w:rsidRPr="00CD7A85">
              <w:rPr>
                <w:rFonts w:asciiTheme="minorBidi" w:hAnsiTheme="minorBidi" w:cstheme="minorBidi"/>
                <w:b/>
                <w:bCs/>
                <w:sz w:val="22"/>
                <w:szCs w:val="22"/>
                <w:rtl/>
                <w:lang w:bidi="he-IL"/>
              </w:rPr>
              <w:t xml:space="preserve">בוצע. </w:t>
            </w:r>
          </w:p>
          <w:p w14:paraId="173000EF" w14:textId="77777777" w:rsidR="006928ED" w:rsidRPr="00CD7A85" w:rsidRDefault="006928ED" w:rsidP="0041535C">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lang w:bidi="he-IL"/>
              </w:rPr>
            </w:pPr>
            <w:r w:rsidRPr="00CD7A85">
              <w:rPr>
                <w:rFonts w:asciiTheme="minorBidi" w:hAnsiTheme="minorBidi" w:cstheme="minorBidi"/>
                <w:sz w:val="22"/>
                <w:szCs w:val="22"/>
                <w:rtl/>
                <w:lang w:bidi="he-IL"/>
              </w:rPr>
              <w:t>פורסם מפרט בטיחות המחייב במכרזים ציבוריים לבינוי ותשתיות. ולעניין קבלן מוכר- ב30.1 פורסמו נהלים חדשים שנכנסו לתוקף ב15.2 לפיהם: קבלנים שבאתרי בניה בביצועם הוטלו שני צווי סגירה בשנה - מוטלים במקרים של מוות או פציעה קשה ו/או הפרות בטיחות – יושעו מהרשימה למשך שנה ובכך לא יוכלו להשתתף במכרזים ממשלתיים.</w:t>
            </w:r>
          </w:p>
        </w:tc>
      </w:tr>
    </w:tbl>
    <w:p w14:paraId="54FA6464" w14:textId="77777777" w:rsidR="006928ED" w:rsidRPr="00CD7A85" w:rsidRDefault="006928ED" w:rsidP="0041535C">
      <w:pPr>
        <w:bidi/>
        <w:spacing w:after="240" w:line="360" w:lineRule="auto"/>
        <w:jc w:val="both"/>
        <w:rPr>
          <w:rFonts w:asciiTheme="minorBidi" w:hAnsiTheme="minorBidi" w:cstheme="minorBidi"/>
          <w:sz w:val="22"/>
          <w:szCs w:val="22"/>
          <w:rtl/>
          <w:lang w:bidi="he-IL"/>
        </w:rPr>
      </w:pPr>
    </w:p>
    <w:p w14:paraId="24EA42D2" w14:textId="77777777" w:rsidR="006928ED" w:rsidRPr="00CD7A85" w:rsidRDefault="006928ED" w:rsidP="0041535C">
      <w:pPr>
        <w:bidi/>
        <w:spacing w:after="120" w:line="360" w:lineRule="auto"/>
        <w:jc w:val="both"/>
        <w:rPr>
          <w:rFonts w:asciiTheme="minorBidi" w:hAnsiTheme="minorBidi" w:cstheme="minorBidi"/>
          <w:sz w:val="22"/>
          <w:szCs w:val="22"/>
          <w:rtl/>
          <w:lang w:bidi="he-IL"/>
        </w:rPr>
      </w:pPr>
    </w:p>
    <w:sectPr w:rsidR="006928ED" w:rsidRPr="00CD7A85" w:rsidSect="00A200A7">
      <w:headerReference w:type="default" r:id="rId16"/>
      <w:footerReference w:type="default" r:id="rId17"/>
      <w:pgSz w:w="12240" w:h="15840"/>
      <w:pgMar w:top="2246" w:right="1008" w:bottom="1440" w:left="1008"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652A2" w14:textId="77777777" w:rsidR="00324949" w:rsidRDefault="00324949">
      <w:r>
        <w:separator/>
      </w:r>
    </w:p>
  </w:endnote>
  <w:endnote w:type="continuationSeparator" w:id="0">
    <w:p w14:paraId="3387E3EE" w14:textId="77777777" w:rsidR="00324949" w:rsidRDefault="0032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DEE65" w14:textId="77777777" w:rsidR="00577987" w:rsidRDefault="00577987" w:rsidP="00CF38C9">
    <w:pPr>
      <w:pStyle w:val="Footer"/>
      <w:tabs>
        <w:tab w:val="clear" w:pos="4320"/>
        <w:tab w:val="clear" w:pos="8640"/>
        <w:tab w:val="right" w:pos="8309"/>
      </w:tabs>
      <w:rPr>
        <w:lang w:bidi="he-IL"/>
      </w:rPr>
    </w:pPr>
    <w:r>
      <w:rPr>
        <w:noProof/>
        <w:lang w:bidi="he-IL"/>
      </w:rPr>
      <mc:AlternateContent>
        <mc:Choice Requires="wps">
          <w:drawing>
            <wp:anchor distT="0" distB="0" distL="114300" distR="114300" simplePos="0" relativeHeight="251658240" behindDoc="0" locked="0" layoutInCell="0" allowOverlap="1" wp14:anchorId="285DB9C3" wp14:editId="2EAC3D31">
              <wp:simplePos x="0" y="0"/>
              <wp:positionH relativeFrom="page">
                <wp:posOffset>579736</wp:posOffset>
              </wp:positionH>
              <wp:positionV relativeFrom="page">
                <wp:posOffset>9307376</wp:posOffset>
              </wp:positionV>
              <wp:extent cx="382905" cy="454660"/>
              <wp:effectExtent l="19050" t="19050" r="36195" b="5969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45466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14:paraId="0A9239D0" w14:textId="77777777" w:rsidR="00577987" w:rsidRDefault="00577987" w:rsidP="00EE3138">
                          <w:pPr>
                            <w:jc w:val="center"/>
                            <w:rPr>
                              <w:rStyle w:val="PageNumber"/>
                            </w:rPr>
                          </w:pPr>
                          <w:r>
                            <w:fldChar w:fldCharType="begin"/>
                          </w:r>
                          <w:r>
                            <w:instrText xml:space="preserve"> PAGE    \* MERGEFORMAT </w:instrText>
                          </w:r>
                          <w:r>
                            <w:fldChar w:fldCharType="separate"/>
                          </w:r>
                          <w:r w:rsidR="00CD7A85" w:rsidRPr="00CD7A85">
                            <w:rPr>
                              <w:rStyle w:val="PageNumber"/>
                              <w:b/>
                              <w:bCs/>
                              <w:noProof/>
                              <w:color w:val="FFFFFF"/>
                            </w:rPr>
                            <w:t>8</w:t>
                          </w:r>
                          <w:r>
                            <w:rPr>
                              <w:rStyle w:val="PageNumber"/>
                              <w:b/>
                              <w:bCs/>
                              <w:noProof/>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DB9C3" id="Oval 20" o:spid="_x0000_s1026" style="position:absolute;margin-left:45.65pt;margin-top:732.85pt;width:30.15pt;height:3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" o:allowincell="f" fillcolor="#4f81bd" strokecolor="#f2f2f2" strokeweight="3pt">
              <v:shadow on="t" color="#243f60" opacity=".5" offset="1pt"/>
              <v:textbox inset="0,,0">
                <w:txbxContent>
                  <w:p w14:paraId="0A9239D0" w14:textId="77777777" w:rsidR="00577987" w:rsidRDefault="00577987" w:rsidP="00EE3138">
                    <w:pPr>
                      <w:jc w:val="center"/>
                      <w:rPr>
                        <w:rStyle w:val="PageNumber"/>
                      </w:rPr>
                    </w:pPr>
                    <w:r>
                      <w:fldChar w:fldCharType="begin"/>
                    </w:r>
                    <w:r>
                      <w:instrText xml:space="preserve"> PAGE    \* MERGEFORMAT </w:instrText>
                    </w:r>
                    <w:r>
                      <w:fldChar w:fldCharType="separate"/>
                    </w:r>
                    <w:r w:rsidR="00CD7A85" w:rsidRPr="00CD7A85">
                      <w:rPr>
                        <w:rStyle w:val="PageNumber"/>
                        <w:b/>
                        <w:bCs/>
                        <w:noProof/>
                        <w:color w:val="FFFFFF"/>
                      </w:rPr>
                      <w:t>8</w:t>
                    </w:r>
                    <w:r>
                      <w:rPr>
                        <w:rStyle w:val="PageNumber"/>
                        <w:b/>
                        <w:bCs/>
                        <w:noProof/>
                        <w:color w:val="FFFFFF"/>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4851B" w14:textId="77777777" w:rsidR="00324949" w:rsidRDefault="00324949">
      <w:r>
        <w:separator/>
      </w:r>
    </w:p>
  </w:footnote>
  <w:footnote w:type="continuationSeparator" w:id="0">
    <w:p w14:paraId="65A83F4F" w14:textId="77777777" w:rsidR="00324949" w:rsidRDefault="00324949">
      <w:r>
        <w:continuationSeparator/>
      </w:r>
    </w:p>
  </w:footnote>
  <w:footnote w:id="1">
    <w:p w14:paraId="20B441FE" w14:textId="77777777" w:rsidR="00CE3FB7" w:rsidRPr="006B1B0E" w:rsidRDefault="00CE3FB7" w:rsidP="00CE3FB7">
      <w:pPr>
        <w:pStyle w:val="FootnoteText"/>
        <w:bidi/>
        <w:rPr>
          <w:rtl/>
          <w:lang w:bidi="he-IL"/>
        </w:rPr>
      </w:pPr>
      <w:r>
        <w:rPr>
          <w:rStyle w:val="FootnoteReference"/>
        </w:rPr>
        <w:footnoteRef/>
      </w:r>
      <w:r>
        <w:t xml:space="preserve"> </w:t>
      </w:r>
      <w:r>
        <w:rPr>
          <w:rFonts w:hint="cs"/>
          <w:rtl/>
          <w:lang w:bidi="he-IL"/>
        </w:rPr>
        <w:t xml:space="preserve"> </w:t>
      </w:r>
      <w:r w:rsidRPr="006B1B0E">
        <w:rPr>
          <w:rFonts w:hint="cs"/>
          <w:sz w:val="16"/>
          <w:szCs w:val="16"/>
          <w:rtl/>
          <w:lang w:bidi="he-IL"/>
        </w:rPr>
        <w:t>הנתונים מתוך דוח מינהל הבטיחות</w:t>
      </w:r>
      <w:r>
        <w:rPr>
          <w:rFonts w:hint="cs"/>
          <w:rtl/>
          <w:lang w:bidi="he-IL"/>
        </w:rPr>
        <w:t xml:space="preserve"> </w:t>
      </w:r>
      <w:hyperlink r:id="rId1" w:history="1">
        <w:r w:rsidRPr="006B1B0E">
          <w:rPr>
            <w:rStyle w:val="Hyperlink"/>
            <w:sz w:val="16"/>
            <w:szCs w:val="16"/>
          </w:rPr>
          <w:t>https://employment.molsa.gov.il/Employment/SafetyAndHealth/ResearchAndProjects/Reports/Reports/OccupationalSafetyReport2016S1.pdf</w:t>
        </w:r>
      </w:hyperlink>
    </w:p>
  </w:footnote>
  <w:footnote w:id="2">
    <w:p w14:paraId="3E5461CC" w14:textId="77777777" w:rsidR="00CE3FB7" w:rsidRPr="006B1B0E" w:rsidRDefault="00CE3FB7" w:rsidP="00CE3FB7">
      <w:pPr>
        <w:pStyle w:val="FootnoteText"/>
        <w:bidi/>
        <w:rPr>
          <w:sz w:val="16"/>
          <w:szCs w:val="16"/>
          <w:lang w:bidi="he-IL"/>
        </w:rPr>
      </w:pPr>
      <w:r w:rsidRPr="006B1B0E">
        <w:rPr>
          <w:sz w:val="16"/>
          <w:szCs w:val="16"/>
          <w:lang w:bidi="he-IL"/>
        </w:rPr>
        <w:footnoteRef/>
      </w:r>
      <w:r w:rsidRPr="006B1B0E">
        <w:rPr>
          <w:sz w:val="16"/>
          <w:szCs w:val="16"/>
          <w:lang w:bidi="he-IL"/>
        </w:rPr>
        <w:t xml:space="preserve"> </w:t>
      </w:r>
      <w:r w:rsidRPr="006B1B0E">
        <w:rPr>
          <w:rFonts w:hint="cs"/>
          <w:sz w:val="16"/>
          <w:szCs w:val="16"/>
          <w:rtl/>
          <w:lang w:bidi="he-IL"/>
        </w:rPr>
        <w:t xml:space="preserve"> הנתונים בכל </w:t>
      </w:r>
      <w:r>
        <w:rPr>
          <w:rFonts w:hint="cs"/>
          <w:sz w:val="16"/>
          <w:szCs w:val="16"/>
          <w:rtl/>
          <w:lang w:bidi="he-IL"/>
        </w:rPr>
        <w:t>הענפים מלבד הבנין הם מדוחות המינהל חציון 2016 ו-2016 (כוללים תאונות דריסה)</w:t>
      </w:r>
    </w:p>
  </w:footnote>
  <w:footnote w:id="3">
    <w:p w14:paraId="4638B59C" w14:textId="77777777" w:rsidR="00CE3FB7" w:rsidRPr="006B1B0E" w:rsidRDefault="00CE3FB7" w:rsidP="00CE3FB7">
      <w:pPr>
        <w:pStyle w:val="FootnoteText"/>
        <w:bidi/>
        <w:rPr>
          <w:rStyle w:val="Hyperlink"/>
          <w:sz w:val="16"/>
          <w:szCs w:val="16"/>
          <w:rtl/>
          <w:lang w:bidi="he-IL"/>
        </w:rPr>
      </w:pPr>
      <w:r w:rsidRPr="006B1B0E">
        <w:rPr>
          <w:sz w:val="16"/>
          <w:szCs w:val="16"/>
          <w:lang w:bidi="he-IL"/>
        </w:rPr>
        <w:footnoteRef/>
      </w:r>
      <w:r w:rsidRPr="006B1B0E">
        <w:rPr>
          <w:sz w:val="16"/>
          <w:szCs w:val="16"/>
          <w:lang w:bidi="he-IL"/>
        </w:rPr>
        <w:t xml:space="preserve"> </w:t>
      </w:r>
      <w:r w:rsidRPr="006B1B0E">
        <w:rPr>
          <w:rFonts w:hint="cs"/>
          <w:sz w:val="16"/>
          <w:szCs w:val="16"/>
          <w:rtl/>
          <w:lang w:bidi="he-IL"/>
        </w:rPr>
        <w:t xml:space="preserve"> הנתונים</w:t>
      </w:r>
      <w:r>
        <w:rPr>
          <w:rFonts w:hint="cs"/>
          <w:sz w:val="16"/>
          <w:szCs w:val="16"/>
          <w:rtl/>
          <w:lang w:bidi="he-IL"/>
        </w:rPr>
        <w:t xml:space="preserve"> מלבד בענף הבניה</w:t>
      </w:r>
      <w:r w:rsidRPr="006B1B0E">
        <w:rPr>
          <w:rFonts w:hint="cs"/>
          <w:sz w:val="16"/>
          <w:szCs w:val="16"/>
          <w:rtl/>
          <w:lang w:bidi="he-IL"/>
        </w:rPr>
        <w:t xml:space="preserve"> מתוך דוח מינהל הבטיחות</w:t>
      </w:r>
      <w:r>
        <w:rPr>
          <w:rFonts w:hint="cs"/>
          <w:rtl/>
          <w:lang w:bidi="he-IL"/>
        </w:rPr>
        <w:t xml:space="preserve"> </w:t>
      </w:r>
      <w:hyperlink r:id="rId2" w:history="1">
        <w:r w:rsidRPr="006B1B0E">
          <w:rPr>
            <w:rStyle w:val="Hyperlink"/>
            <w:sz w:val="16"/>
            <w:szCs w:val="16"/>
          </w:rPr>
          <w:t>https://employment.molsa.gov.il/Employment/SafetyAndHealth/ResearchAndProjects/Reports/Reports/OccupationalSafetyReport2013-2017.pdf</w:t>
        </w:r>
      </w:hyperlink>
    </w:p>
  </w:footnote>
  <w:footnote w:id="4">
    <w:p w14:paraId="089C0E19" w14:textId="77777777" w:rsidR="00CE3FB7" w:rsidRPr="00587DCF" w:rsidRDefault="00CE3FB7" w:rsidP="00CE3FB7">
      <w:pPr>
        <w:pStyle w:val="FootnoteText"/>
        <w:bidi/>
        <w:rPr>
          <w:sz w:val="16"/>
          <w:szCs w:val="16"/>
          <w:rtl/>
          <w:lang w:bidi="he-IL"/>
        </w:rPr>
      </w:pPr>
      <w:r w:rsidRPr="00587DCF">
        <w:rPr>
          <w:sz w:val="16"/>
          <w:szCs w:val="16"/>
          <w:lang w:bidi="he-IL"/>
        </w:rPr>
        <w:footnoteRef/>
      </w:r>
      <w:r w:rsidRPr="00587DCF">
        <w:rPr>
          <w:sz w:val="16"/>
          <w:szCs w:val="16"/>
          <w:lang w:bidi="he-IL"/>
        </w:rPr>
        <w:t xml:space="preserve"> </w:t>
      </w:r>
      <w:r w:rsidRPr="00587DCF">
        <w:rPr>
          <w:rFonts w:hint="cs"/>
          <w:sz w:val="16"/>
          <w:szCs w:val="16"/>
          <w:rtl/>
          <w:lang w:bidi="he-IL"/>
        </w:rPr>
        <w:t>נתונים של קו לעובד</w:t>
      </w:r>
    </w:p>
  </w:footnote>
  <w:footnote w:id="5">
    <w:p w14:paraId="65D58230" w14:textId="77777777" w:rsidR="00CE3FB7" w:rsidRPr="00587DCF" w:rsidRDefault="00CE3FB7" w:rsidP="00CE3FB7">
      <w:pPr>
        <w:pStyle w:val="FootnoteText"/>
        <w:bidi/>
        <w:rPr>
          <w:sz w:val="16"/>
          <w:szCs w:val="16"/>
          <w:rtl/>
          <w:lang w:bidi="he-IL"/>
        </w:rPr>
      </w:pPr>
      <w:r w:rsidRPr="00587DCF">
        <w:rPr>
          <w:sz w:val="16"/>
          <w:szCs w:val="16"/>
          <w:lang w:bidi="he-IL"/>
        </w:rPr>
        <w:footnoteRef/>
      </w:r>
      <w:r w:rsidRPr="00587DCF">
        <w:rPr>
          <w:sz w:val="16"/>
          <w:szCs w:val="16"/>
          <w:lang w:bidi="he-IL"/>
        </w:rPr>
        <w:t xml:space="preserve"> </w:t>
      </w:r>
      <w:r w:rsidRPr="00587DCF">
        <w:rPr>
          <w:rFonts w:hint="cs"/>
          <w:sz w:val="16"/>
          <w:szCs w:val="16"/>
          <w:rtl/>
          <w:lang w:bidi="he-IL"/>
        </w:rPr>
        <w:t>נתונים של קו לעובד</w:t>
      </w:r>
    </w:p>
  </w:footnote>
  <w:footnote w:id="6">
    <w:p w14:paraId="4AF0529D" w14:textId="77777777" w:rsidR="00CE3FB7" w:rsidRPr="00587DCF" w:rsidRDefault="00CE3FB7" w:rsidP="00CE3FB7">
      <w:pPr>
        <w:pStyle w:val="FootnoteText"/>
        <w:bidi/>
        <w:rPr>
          <w:rStyle w:val="Hyperlink"/>
          <w:sz w:val="16"/>
          <w:szCs w:val="16"/>
          <w:rtl/>
        </w:rPr>
      </w:pPr>
      <w:r>
        <w:rPr>
          <w:rStyle w:val="FootnoteReference"/>
        </w:rPr>
        <w:footnoteRef/>
      </w:r>
      <w:r>
        <w:t xml:space="preserve"> </w:t>
      </w:r>
      <w:r>
        <w:rPr>
          <w:rFonts w:hint="cs"/>
          <w:rtl/>
          <w:lang w:bidi="he-IL"/>
        </w:rPr>
        <w:t xml:space="preserve"> </w:t>
      </w:r>
      <w:r w:rsidRPr="002F03B3">
        <w:rPr>
          <w:rFonts w:hint="cs"/>
          <w:sz w:val="16"/>
          <w:szCs w:val="16"/>
          <w:rtl/>
          <w:lang w:bidi="he-IL"/>
        </w:rPr>
        <w:t xml:space="preserve">מינהל הבטיחות ספר </w:t>
      </w:r>
      <w:r>
        <w:rPr>
          <w:rFonts w:hint="cs"/>
          <w:sz w:val="16"/>
          <w:szCs w:val="16"/>
          <w:rtl/>
          <w:lang w:bidi="he-IL"/>
        </w:rPr>
        <w:t>16</w:t>
      </w:r>
      <w:r w:rsidRPr="002F03B3">
        <w:rPr>
          <w:rFonts w:hint="cs"/>
          <w:sz w:val="16"/>
          <w:szCs w:val="16"/>
          <w:rtl/>
          <w:lang w:bidi="he-IL"/>
        </w:rPr>
        <w:t xml:space="preserve"> הרוגים ב</w:t>
      </w:r>
      <w:r>
        <w:rPr>
          <w:rFonts w:hint="cs"/>
          <w:sz w:val="16"/>
          <w:szCs w:val="16"/>
          <w:rtl/>
          <w:lang w:bidi="he-IL"/>
        </w:rPr>
        <w:t>ענף ה</w:t>
      </w:r>
      <w:r w:rsidRPr="002F03B3">
        <w:rPr>
          <w:rFonts w:hint="cs"/>
          <w:sz w:val="16"/>
          <w:szCs w:val="16"/>
          <w:rtl/>
          <w:lang w:bidi="he-IL"/>
        </w:rPr>
        <w:t>בנין באותה תקופה.</w:t>
      </w:r>
      <w:r>
        <w:rPr>
          <w:rFonts w:hint="cs"/>
          <w:sz w:val="16"/>
          <w:szCs w:val="16"/>
          <w:rtl/>
          <w:lang w:bidi="he-IL"/>
        </w:rPr>
        <w:t xml:space="preserve"> </w:t>
      </w:r>
      <w:hyperlink r:id="rId3" w:history="1">
        <w:r w:rsidRPr="00587DCF">
          <w:rPr>
            <w:rStyle w:val="Hyperlink"/>
            <w:sz w:val="16"/>
            <w:szCs w:val="16"/>
          </w:rPr>
          <w:t>https://employment.molsa.gov.il/Employment/SafetyAndHealth/ResearchAndProjects/Reports/Reports/OccupationalSafetyReport2016S1.pdf</w:t>
        </w:r>
      </w:hyperlink>
    </w:p>
  </w:footnote>
  <w:footnote w:id="7">
    <w:p w14:paraId="009E2F73" w14:textId="77777777" w:rsidR="00CE3FB7" w:rsidRDefault="00CE3FB7" w:rsidP="00CE3FB7">
      <w:pPr>
        <w:pStyle w:val="FootnoteText"/>
        <w:bidi/>
        <w:rPr>
          <w:rtl/>
          <w:lang w:bidi="he-IL"/>
        </w:rPr>
      </w:pPr>
      <w:r>
        <w:rPr>
          <w:rStyle w:val="FootnoteReference"/>
        </w:rPr>
        <w:footnoteRef/>
      </w:r>
      <w:r>
        <w:t xml:space="preserve"> </w:t>
      </w:r>
      <w:r>
        <w:rPr>
          <w:rFonts w:hint="cs"/>
          <w:rtl/>
          <w:lang w:bidi="he-IL"/>
        </w:rPr>
        <w:t xml:space="preserve"> </w:t>
      </w:r>
      <w:r w:rsidRPr="002F03B3">
        <w:rPr>
          <w:rFonts w:hint="cs"/>
          <w:sz w:val="16"/>
          <w:szCs w:val="16"/>
          <w:rtl/>
          <w:lang w:bidi="he-IL"/>
        </w:rPr>
        <w:t xml:space="preserve">מינהל הבטיחות ספר </w:t>
      </w:r>
      <w:r>
        <w:rPr>
          <w:rFonts w:hint="cs"/>
          <w:sz w:val="16"/>
          <w:szCs w:val="16"/>
          <w:rtl/>
          <w:lang w:bidi="he-IL"/>
        </w:rPr>
        <w:t>14</w:t>
      </w:r>
      <w:r w:rsidRPr="002F03B3">
        <w:rPr>
          <w:rFonts w:hint="cs"/>
          <w:sz w:val="16"/>
          <w:szCs w:val="16"/>
          <w:rtl/>
          <w:lang w:bidi="he-IL"/>
        </w:rPr>
        <w:t xml:space="preserve"> הרוגים ב</w:t>
      </w:r>
      <w:r>
        <w:rPr>
          <w:rFonts w:hint="cs"/>
          <w:sz w:val="16"/>
          <w:szCs w:val="16"/>
          <w:rtl/>
          <w:lang w:bidi="he-IL"/>
        </w:rPr>
        <w:t>ענף ה</w:t>
      </w:r>
      <w:r w:rsidRPr="002F03B3">
        <w:rPr>
          <w:rFonts w:hint="cs"/>
          <w:sz w:val="16"/>
          <w:szCs w:val="16"/>
          <w:rtl/>
          <w:lang w:bidi="he-IL"/>
        </w:rPr>
        <w:t>בנין באותה תקופה.</w:t>
      </w:r>
    </w:p>
  </w:footnote>
  <w:footnote w:id="8">
    <w:p w14:paraId="4F8EFD28" w14:textId="77777777" w:rsidR="00CE3FB7" w:rsidRDefault="00CE3FB7" w:rsidP="00CE3FB7">
      <w:pPr>
        <w:pStyle w:val="FootnoteText"/>
        <w:bidi/>
        <w:rPr>
          <w:rtl/>
          <w:lang w:bidi="he-IL"/>
        </w:rPr>
      </w:pPr>
      <w:r>
        <w:rPr>
          <w:rStyle w:val="FootnoteReference"/>
        </w:rPr>
        <w:footnoteRef/>
      </w:r>
      <w:r>
        <w:t xml:space="preserve"> </w:t>
      </w:r>
      <w:r>
        <w:rPr>
          <w:rFonts w:hint="cs"/>
          <w:rtl/>
          <w:lang w:bidi="he-IL"/>
        </w:rPr>
        <w:t xml:space="preserve"> </w:t>
      </w:r>
      <w:r w:rsidRPr="002F03B3">
        <w:rPr>
          <w:rFonts w:hint="cs"/>
          <w:sz w:val="16"/>
          <w:szCs w:val="16"/>
          <w:rtl/>
          <w:lang w:bidi="he-IL"/>
        </w:rPr>
        <w:t xml:space="preserve">מינהל הבטיחות ספר </w:t>
      </w:r>
      <w:r>
        <w:rPr>
          <w:rFonts w:hint="cs"/>
          <w:sz w:val="16"/>
          <w:szCs w:val="16"/>
          <w:rtl/>
          <w:lang w:bidi="he-IL"/>
        </w:rPr>
        <w:t>17</w:t>
      </w:r>
      <w:r w:rsidRPr="002F03B3">
        <w:rPr>
          <w:rFonts w:hint="cs"/>
          <w:sz w:val="16"/>
          <w:szCs w:val="16"/>
          <w:rtl/>
          <w:lang w:bidi="he-IL"/>
        </w:rPr>
        <w:t xml:space="preserve"> הרוגים ב</w:t>
      </w:r>
      <w:r>
        <w:rPr>
          <w:rFonts w:hint="cs"/>
          <w:sz w:val="16"/>
          <w:szCs w:val="16"/>
          <w:rtl/>
          <w:lang w:bidi="he-IL"/>
        </w:rPr>
        <w:t>ענף ה</w:t>
      </w:r>
      <w:r w:rsidRPr="002F03B3">
        <w:rPr>
          <w:rFonts w:hint="cs"/>
          <w:sz w:val="16"/>
          <w:szCs w:val="16"/>
          <w:rtl/>
          <w:lang w:bidi="he-IL"/>
        </w:rPr>
        <w:t>בנין באותה תקופה.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BC2A" w14:textId="77777777" w:rsidR="00CF38C9" w:rsidRDefault="00967A5E" w:rsidP="000422EF">
    <w:pPr>
      <w:jc w:val="right"/>
      <w:rPr>
        <w:rFonts w:cs="David"/>
        <w:b/>
        <w:bCs/>
        <w:sz w:val="28"/>
        <w:szCs w:val="28"/>
        <w:rtl/>
        <w:lang w:bidi="he-IL"/>
      </w:rPr>
    </w:pPr>
    <w:r>
      <w:rPr>
        <w:noProof/>
        <w:lang w:bidi="he-IL"/>
      </w:rPr>
      <w:drawing>
        <wp:anchor distT="0" distB="0" distL="114300" distR="114300" simplePos="0" relativeHeight="251657216" behindDoc="1" locked="0" layoutInCell="1" allowOverlap="1" wp14:anchorId="687458B2" wp14:editId="527B9548">
          <wp:simplePos x="0" y="0"/>
          <wp:positionH relativeFrom="page">
            <wp:align>left</wp:align>
          </wp:positionH>
          <wp:positionV relativeFrom="paragraph">
            <wp:posOffset>-127966</wp:posOffset>
          </wp:positionV>
          <wp:extent cx="8181468" cy="1344295"/>
          <wp:effectExtent l="0" t="0" r="0" b="8255"/>
          <wp:wrapNone/>
          <wp:docPr id="7" name="תמונה 16" descr="A4-h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descr="A4-heder"/>
                  <pic:cNvPicPr>
                    <a:picLocks noChangeAspect="1" noChangeArrowheads="1"/>
                  </pic:cNvPicPr>
                </pic:nvPicPr>
                <pic:blipFill>
                  <a:blip r:embed="rId1"/>
                  <a:srcRect/>
                  <a:stretch>
                    <a:fillRect/>
                  </a:stretch>
                </pic:blipFill>
                <pic:spPr bwMode="auto">
                  <a:xfrm>
                    <a:off x="0" y="0"/>
                    <a:ext cx="8181468" cy="1344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214B09" w14:textId="77777777" w:rsidR="00577987" w:rsidRDefault="00577987" w:rsidP="000422EF">
    <w:pPr>
      <w:jc w:val="right"/>
      <w:rPr>
        <w:rFonts w:cs="David"/>
        <w:b/>
        <w:bCs/>
        <w:sz w:val="28"/>
        <w:szCs w:val="28"/>
        <w:rtl/>
        <w:lang w:bidi="he-IL"/>
      </w:rPr>
    </w:pPr>
    <w:r>
      <w:rPr>
        <w:rFonts w:ascii="Arial" w:hAnsi="Arial" w:cs="Arial"/>
        <w:b/>
        <w:bCs/>
        <w:noProof/>
        <w:sz w:val="40"/>
        <w:szCs w:val="40"/>
        <w:lang w:bidi="he-IL"/>
      </w:rPr>
      <w:drawing>
        <wp:inline distT="0" distB="0" distL="0" distR="0" wp14:anchorId="6A1AC538" wp14:editId="200CDBEC">
          <wp:extent cx="1410335" cy="113197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414671" cy="1135450"/>
                  </a:xfrm>
                  <a:prstGeom prst="rect">
                    <a:avLst/>
                  </a:prstGeom>
                  <a:noFill/>
                  <a:ln w="9525">
                    <a:noFill/>
                    <a:miter lim="800000"/>
                    <a:headEnd/>
                    <a:tailEnd/>
                  </a:ln>
                </pic:spPr>
              </pic:pic>
            </a:graphicData>
          </a:graphic>
        </wp:inline>
      </w:drawing>
    </w:r>
  </w:p>
  <w:p w14:paraId="00485F75" w14:textId="77777777" w:rsidR="00577987" w:rsidRPr="000422EF" w:rsidRDefault="00577987" w:rsidP="000422EF">
    <w:pPr>
      <w:jc w:val="right"/>
      <w:rPr>
        <w:rFonts w:cs="David"/>
        <w:b/>
        <w:bCs/>
        <w:sz w:val="28"/>
        <w:szCs w:val="28"/>
        <w:rtl/>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F8F8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4C3E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4254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661C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9A78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FA1D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8A2D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3071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68C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A6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002D8"/>
    <w:multiLevelType w:val="hybridMultilevel"/>
    <w:tmpl w:val="89864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DA360DD"/>
    <w:multiLevelType w:val="multilevel"/>
    <w:tmpl w:val="81121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AC517B"/>
    <w:multiLevelType w:val="hybridMultilevel"/>
    <w:tmpl w:val="291A1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B5BD4"/>
    <w:multiLevelType w:val="hybridMultilevel"/>
    <w:tmpl w:val="5B40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A57FE1"/>
    <w:multiLevelType w:val="hybridMultilevel"/>
    <w:tmpl w:val="8E9A14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22E05"/>
    <w:multiLevelType w:val="hybridMultilevel"/>
    <w:tmpl w:val="2078E76E"/>
    <w:lvl w:ilvl="0" w:tplc="07A6DAA4">
      <w:start w:val="1"/>
      <w:numFmt w:val="hebrew1"/>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E5786"/>
    <w:multiLevelType w:val="hybridMultilevel"/>
    <w:tmpl w:val="261664A8"/>
    <w:lvl w:ilvl="0" w:tplc="E472A8B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51BC4"/>
    <w:multiLevelType w:val="multilevel"/>
    <w:tmpl w:val="E5604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2A795C"/>
    <w:multiLevelType w:val="hybridMultilevel"/>
    <w:tmpl w:val="0D8C31D0"/>
    <w:lvl w:ilvl="0" w:tplc="C734C5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23FC6"/>
    <w:multiLevelType w:val="hybridMultilevel"/>
    <w:tmpl w:val="20EE9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957FBE"/>
    <w:multiLevelType w:val="hybridMultilevel"/>
    <w:tmpl w:val="D502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771E8"/>
    <w:multiLevelType w:val="hybridMultilevel"/>
    <w:tmpl w:val="79566B92"/>
    <w:lvl w:ilvl="0" w:tplc="D5A81A18">
      <w:start w:val="1"/>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512AB"/>
    <w:multiLevelType w:val="hybridMultilevel"/>
    <w:tmpl w:val="A126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76DC5"/>
    <w:multiLevelType w:val="hybridMultilevel"/>
    <w:tmpl w:val="C472D69A"/>
    <w:lvl w:ilvl="0" w:tplc="801AF984">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A82A2C"/>
    <w:multiLevelType w:val="hybridMultilevel"/>
    <w:tmpl w:val="83D4E58C"/>
    <w:lvl w:ilvl="0" w:tplc="AE964EEE">
      <w:start w:val="1"/>
      <w:numFmt w:val="decimal"/>
      <w:lvlText w:val="%1."/>
      <w:lvlJc w:val="left"/>
      <w:pPr>
        <w:ind w:left="900" w:hanging="360"/>
      </w:pPr>
      <w:rPr>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3148D"/>
    <w:multiLevelType w:val="hybridMultilevel"/>
    <w:tmpl w:val="90768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26510"/>
    <w:multiLevelType w:val="hybridMultilevel"/>
    <w:tmpl w:val="55680952"/>
    <w:lvl w:ilvl="0" w:tplc="3AF63F5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A861800"/>
    <w:multiLevelType w:val="hybridMultilevel"/>
    <w:tmpl w:val="8E9A14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16902"/>
    <w:multiLevelType w:val="hybridMultilevel"/>
    <w:tmpl w:val="86D04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710A1"/>
    <w:multiLevelType w:val="multilevel"/>
    <w:tmpl w:val="2B64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F65C27"/>
    <w:multiLevelType w:val="hybridMultilevel"/>
    <w:tmpl w:val="9894CD5A"/>
    <w:lvl w:ilvl="0" w:tplc="A5E48E4C">
      <w:start w:val="1"/>
      <w:numFmt w:val="decimal"/>
      <w:lvlText w:val="%1."/>
      <w:lvlJc w:val="left"/>
      <w:pPr>
        <w:ind w:left="90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F7A8F"/>
    <w:multiLevelType w:val="hybridMultilevel"/>
    <w:tmpl w:val="2634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865E5"/>
    <w:multiLevelType w:val="hybridMultilevel"/>
    <w:tmpl w:val="A580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60A01"/>
    <w:multiLevelType w:val="hybridMultilevel"/>
    <w:tmpl w:val="CA082AB6"/>
    <w:lvl w:ilvl="0" w:tplc="DB3C10F4">
      <w:start w:val="1"/>
      <w:numFmt w:val="decimal"/>
      <w:lvlText w:val="%1."/>
      <w:lvlJc w:val="left"/>
      <w:pPr>
        <w:ind w:left="45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72574115"/>
    <w:multiLevelType w:val="hybridMultilevel"/>
    <w:tmpl w:val="13261DD4"/>
    <w:lvl w:ilvl="0" w:tplc="77DE1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754494"/>
    <w:multiLevelType w:val="hybridMultilevel"/>
    <w:tmpl w:val="8E9A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606E5D"/>
    <w:multiLevelType w:val="hybridMultilevel"/>
    <w:tmpl w:val="83D4E58C"/>
    <w:lvl w:ilvl="0" w:tplc="AE964EEE">
      <w:start w:val="1"/>
      <w:numFmt w:val="decimal"/>
      <w:lvlText w:val="%1."/>
      <w:lvlJc w:val="left"/>
      <w:pPr>
        <w:ind w:left="900" w:hanging="360"/>
      </w:pPr>
      <w:rPr>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5"/>
  </w:num>
  <w:num w:numId="14">
    <w:abstractNumId w:val="36"/>
  </w:num>
  <w:num w:numId="15">
    <w:abstractNumId w:val="35"/>
  </w:num>
  <w:num w:numId="16">
    <w:abstractNumId w:val="26"/>
  </w:num>
  <w:num w:numId="17">
    <w:abstractNumId w:val="25"/>
  </w:num>
  <w:num w:numId="18">
    <w:abstractNumId w:val="34"/>
  </w:num>
  <w:num w:numId="19">
    <w:abstractNumId w:val="12"/>
  </w:num>
  <w:num w:numId="20">
    <w:abstractNumId w:val="33"/>
  </w:num>
  <w:num w:numId="21">
    <w:abstractNumId w:val="16"/>
  </w:num>
  <w:num w:numId="22">
    <w:abstractNumId w:val="27"/>
  </w:num>
  <w:num w:numId="23">
    <w:abstractNumId w:val="3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8"/>
  </w:num>
  <w:num w:numId="27">
    <w:abstractNumId w:val="11"/>
  </w:num>
  <w:num w:numId="28">
    <w:abstractNumId w:val="17"/>
    <w:lvlOverride w:ilvl="0">
      <w:lvl w:ilvl="0">
        <w:numFmt w:val="decimal"/>
        <w:lvlText w:val="%1."/>
        <w:lvlJc w:val="left"/>
      </w:lvl>
    </w:lvlOverride>
  </w:num>
  <w:num w:numId="29">
    <w:abstractNumId w:val="23"/>
  </w:num>
  <w:num w:numId="30">
    <w:abstractNumId w:val="10"/>
  </w:num>
  <w:num w:numId="31">
    <w:abstractNumId w:val="22"/>
  </w:num>
  <w:num w:numId="32">
    <w:abstractNumId w:val="20"/>
  </w:num>
  <w:num w:numId="33">
    <w:abstractNumId w:val="18"/>
  </w:num>
  <w:num w:numId="34">
    <w:abstractNumId w:val="29"/>
  </w:num>
  <w:num w:numId="35">
    <w:abstractNumId w:val="32"/>
  </w:num>
  <w:num w:numId="36">
    <w:abstractNumId w:val="13"/>
  </w:num>
  <w:num w:numId="37">
    <w:abstractNumId w:val="2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F7"/>
    <w:rsid w:val="00002FA6"/>
    <w:rsid w:val="00015665"/>
    <w:rsid w:val="0001717D"/>
    <w:rsid w:val="00020AF6"/>
    <w:rsid w:val="00036E4E"/>
    <w:rsid w:val="000422EF"/>
    <w:rsid w:val="00045568"/>
    <w:rsid w:val="00052A35"/>
    <w:rsid w:val="000546CF"/>
    <w:rsid w:val="0006012B"/>
    <w:rsid w:val="00060AAB"/>
    <w:rsid w:val="00066EE8"/>
    <w:rsid w:val="000678DF"/>
    <w:rsid w:val="00072950"/>
    <w:rsid w:val="0007662E"/>
    <w:rsid w:val="00083700"/>
    <w:rsid w:val="00084B22"/>
    <w:rsid w:val="00084DD5"/>
    <w:rsid w:val="00085030"/>
    <w:rsid w:val="000869AE"/>
    <w:rsid w:val="00092FA3"/>
    <w:rsid w:val="0009364F"/>
    <w:rsid w:val="00093EB8"/>
    <w:rsid w:val="00093FC3"/>
    <w:rsid w:val="00094E4F"/>
    <w:rsid w:val="000975DA"/>
    <w:rsid w:val="000A1560"/>
    <w:rsid w:val="000A209C"/>
    <w:rsid w:val="000A2883"/>
    <w:rsid w:val="000A2A86"/>
    <w:rsid w:val="000B2FE9"/>
    <w:rsid w:val="000B7354"/>
    <w:rsid w:val="000B7EA5"/>
    <w:rsid w:val="000C1639"/>
    <w:rsid w:val="000C3482"/>
    <w:rsid w:val="000C5E1B"/>
    <w:rsid w:val="000C5E69"/>
    <w:rsid w:val="000D5740"/>
    <w:rsid w:val="000D5BCC"/>
    <w:rsid w:val="000E2950"/>
    <w:rsid w:val="000E6439"/>
    <w:rsid w:val="000F605F"/>
    <w:rsid w:val="00107F3B"/>
    <w:rsid w:val="00112470"/>
    <w:rsid w:val="00113D9F"/>
    <w:rsid w:val="00114344"/>
    <w:rsid w:val="0011435F"/>
    <w:rsid w:val="00114946"/>
    <w:rsid w:val="001162FE"/>
    <w:rsid w:val="00121C38"/>
    <w:rsid w:val="001232D5"/>
    <w:rsid w:val="00123C76"/>
    <w:rsid w:val="001279AD"/>
    <w:rsid w:val="001403D5"/>
    <w:rsid w:val="001409B3"/>
    <w:rsid w:val="001410DB"/>
    <w:rsid w:val="001429B7"/>
    <w:rsid w:val="001435C6"/>
    <w:rsid w:val="001472F2"/>
    <w:rsid w:val="00147827"/>
    <w:rsid w:val="001552B5"/>
    <w:rsid w:val="0015555F"/>
    <w:rsid w:val="00163D7F"/>
    <w:rsid w:val="00180EAE"/>
    <w:rsid w:val="00181EC7"/>
    <w:rsid w:val="00182D2F"/>
    <w:rsid w:val="00185EED"/>
    <w:rsid w:val="00194007"/>
    <w:rsid w:val="001A291D"/>
    <w:rsid w:val="001B0D8B"/>
    <w:rsid w:val="001B68BA"/>
    <w:rsid w:val="001C2184"/>
    <w:rsid w:val="001C2F31"/>
    <w:rsid w:val="001C6E87"/>
    <w:rsid w:val="001D12A8"/>
    <w:rsid w:val="001D1B51"/>
    <w:rsid w:val="001D3FF5"/>
    <w:rsid w:val="001D508B"/>
    <w:rsid w:val="001E1D86"/>
    <w:rsid w:val="001E2986"/>
    <w:rsid w:val="001E5A13"/>
    <w:rsid w:val="001F2784"/>
    <w:rsid w:val="001F3BB5"/>
    <w:rsid w:val="001F434A"/>
    <w:rsid w:val="001F6E85"/>
    <w:rsid w:val="002025C2"/>
    <w:rsid w:val="00205460"/>
    <w:rsid w:val="00212C7C"/>
    <w:rsid w:val="00216063"/>
    <w:rsid w:val="00217FD6"/>
    <w:rsid w:val="002208FB"/>
    <w:rsid w:val="00222460"/>
    <w:rsid w:val="00224E1C"/>
    <w:rsid w:val="00235DDE"/>
    <w:rsid w:val="0023776B"/>
    <w:rsid w:val="0024173B"/>
    <w:rsid w:val="002447CF"/>
    <w:rsid w:val="0024484D"/>
    <w:rsid w:val="002469E7"/>
    <w:rsid w:val="002512D5"/>
    <w:rsid w:val="002513A7"/>
    <w:rsid w:val="00263E49"/>
    <w:rsid w:val="00265083"/>
    <w:rsid w:val="00270607"/>
    <w:rsid w:val="00272D01"/>
    <w:rsid w:val="0027377A"/>
    <w:rsid w:val="002737D2"/>
    <w:rsid w:val="00277004"/>
    <w:rsid w:val="0028539C"/>
    <w:rsid w:val="00291260"/>
    <w:rsid w:val="002930E2"/>
    <w:rsid w:val="00293992"/>
    <w:rsid w:val="00294069"/>
    <w:rsid w:val="002951E7"/>
    <w:rsid w:val="00296B15"/>
    <w:rsid w:val="002A06FF"/>
    <w:rsid w:val="002A60FE"/>
    <w:rsid w:val="002A7AB8"/>
    <w:rsid w:val="002B22DE"/>
    <w:rsid w:val="002B55E3"/>
    <w:rsid w:val="002B5A41"/>
    <w:rsid w:val="002B684D"/>
    <w:rsid w:val="002C139F"/>
    <w:rsid w:val="002C6369"/>
    <w:rsid w:val="002C6D6C"/>
    <w:rsid w:val="002C6E4B"/>
    <w:rsid w:val="002D01B6"/>
    <w:rsid w:val="002D4C42"/>
    <w:rsid w:val="002F0077"/>
    <w:rsid w:val="002F03B3"/>
    <w:rsid w:val="002F0452"/>
    <w:rsid w:val="002F59CB"/>
    <w:rsid w:val="002F6977"/>
    <w:rsid w:val="00302EEB"/>
    <w:rsid w:val="00303741"/>
    <w:rsid w:val="00306830"/>
    <w:rsid w:val="00321C0D"/>
    <w:rsid w:val="00324949"/>
    <w:rsid w:val="00324958"/>
    <w:rsid w:val="00332AA1"/>
    <w:rsid w:val="0033599C"/>
    <w:rsid w:val="00337235"/>
    <w:rsid w:val="003413D1"/>
    <w:rsid w:val="003421A6"/>
    <w:rsid w:val="00345805"/>
    <w:rsid w:val="0035225C"/>
    <w:rsid w:val="00352884"/>
    <w:rsid w:val="00354F10"/>
    <w:rsid w:val="00363CDC"/>
    <w:rsid w:val="003645FE"/>
    <w:rsid w:val="00366744"/>
    <w:rsid w:val="00366EFC"/>
    <w:rsid w:val="00370423"/>
    <w:rsid w:val="00370F7A"/>
    <w:rsid w:val="00377CFF"/>
    <w:rsid w:val="00380669"/>
    <w:rsid w:val="00380BC6"/>
    <w:rsid w:val="003819C7"/>
    <w:rsid w:val="00382540"/>
    <w:rsid w:val="00390962"/>
    <w:rsid w:val="003A1A3A"/>
    <w:rsid w:val="003A2DFD"/>
    <w:rsid w:val="003A5DF4"/>
    <w:rsid w:val="003A5E63"/>
    <w:rsid w:val="003A632E"/>
    <w:rsid w:val="003A6923"/>
    <w:rsid w:val="003A750F"/>
    <w:rsid w:val="003B6EA0"/>
    <w:rsid w:val="003B7E5C"/>
    <w:rsid w:val="003C196F"/>
    <w:rsid w:val="003C4CE9"/>
    <w:rsid w:val="003C595B"/>
    <w:rsid w:val="003C74DA"/>
    <w:rsid w:val="003D001D"/>
    <w:rsid w:val="003D0BE1"/>
    <w:rsid w:val="003D274A"/>
    <w:rsid w:val="003D41D7"/>
    <w:rsid w:val="003D5E85"/>
    <w:rsid w:val="003E5FDF"/>
    <w:rsid w:val="003E7A65"/>
    <w:rsid w:val="003F3289"/>
    <w:rsid w:val="003F37EC"/>
    <w:rsid w:val="003F5419"/>
    <w:rsid w:val="004008DB"/>
    <w:rsid w:val="004055F3"/>
    <w:rsid w:val="004102F4"/>
    <w:rsid w:val="0041535C"/>
    <w:rsid w:val="00417CD0"/>
    <w:rsid w:val="00422A5E"/>
    <w:rsid w:val="00422D0A"/>
    <w:rsid w:val="00423759"/>
    <w:rsid w:val="0043543F"/>
    <w:rsid w:val="00441EEE"/>
    <w:rsid w:val="00444CD1"/>
    <w:rsid w:val="0044653B"/>
    <w:rsid w:val="00446CEE"/>
    <w:rsid w:val="004512D4"/>
    <w:rsid w:val="0045476A"/>
    <w:rsid w:val="0045641A"/>
    <w:rsid w:val="00461A77"/>
    <w:rsid w:val="004645F5"/>
    <w:rsid w:val="00471FD6"/>
    <w:rsid w:val="00476AF9"/>
    <w:rsid w:val="00477C30"/>
    <w:rsid w:val="00484A38"/>
    <w:rsid w:val="00497727"/>
    <w:rsid w:val="004977E9"/>
    <w:rsid w:val="004A017D"/>
    <w:rsid w:val="004A305C"/>
    <w:rsid w:val="004A629C"/>
    <w:rsid w:val="004B03E2"/>
    <w:rsid w:val="004B0754"/>
    <w:rsid w:val="004B2098"/>
    <w:rsid w:val="004B21C2"/>
    <w:rsid w:val="004B53D9"/>
    <w:rsid w:val="004B5977"/>
    <w:rsid w:val="004C2DC0"/>
    <w:rsid w:val="004C3273"/>
    <w:rsid w:val="004C3CB6"/>
    <w:rsid w:val="004C460F"/>
    <w:rsid w:val="004C73A4"/>
    <w:rsid w:val="004C787A"/>
    <w:rsid w:val="004D3C70"/>
    <w:rsid w:val="004D5E2A"/>
    <w:rsid w:val="004D77F8"/>
    <w:rsid w:val="004E5431"/>
    <w:rsid w:val="004F177F"/>
    <w:rsid w:val="004F2179"/>
    <w:rsid w:val="004F70E1"/>
    <w:rsid w:val="004F7361"/>
    <w:rsid w:val="004F7580"/>
    <w:rsid w:val="00501C56"/>
    <w:rsid w:val="005039F3"/>
    <w:rsid w:val="00505CCE"/>
    <w:rsid w:val="00510079"/>
    <w:rsid w:val="00526D73"/>
    <w:rsid w:val="005305A4"/>
    <w:rsid w:val="005309E6"/>
    <w:rsid w:val="00546E38"/>
    <w:rsid w:val="00552222"/>
    <w:rsid w:val="00554AFF"/>
    <w:rsid w:val="00556C77"/>
    <w:rsid w:val="00560298"/>
    <w:rsid w:val="00572BC1"/>
    <w:rsid w:val="00573DB4"/>
    <w:rsid w:val="00575B27"/>
    <w:rsid w:val="00577987"/>
    <w:rsid w:val="00587DCF"/>
    <w:rsid w:val="00590347"/>
    <w:rsid w:val="005947D9"/>
    <w:rsid w:val="005A5168"/>
    <w:rsid w:val="005A55BA"/>
    <w:rsid w:val="005A5AC8"/>
    <w:rsid w:val="005B2F63"/>
    <w:rsid w:val="005B58EE"/>
    <w:rsid w:val="005B7272"/>
    <w:rsid w:val="005C3A09"/>
    <w:rsid w:val="005C3EBF"/>
    <w:rsid w:val="005D2AC9"/>
    <w:rsid w:val="005D6EA9"/>
    <w:rsid w:val="005E25F7"/>
    <w:rsid w:val="005E2646"/>
    <w:rsid w:val="005E3451"/>
    <w:rsid w:val="005E56D8"/>
    <w:rsid w:val="005E7805"/>
    <w:rsid w:val="005F0B1F"/>
    <w:rsid w:val="005F38AB"/>
    <w:rsid w:val="00600664"/>
    <w:rsid w:val="0060091E"/>
    <w:rsid w:val="00603C51"/>
    <w:rsid w:val="00607220"/>
    <w:rsid w:val="00613D0B"/>
    <w:rsid w:val="00620306"/>
    <w:rsid w:val="0062079A"/>
    <w:rsid w:val="006263C3"/>
    <w:rsid w:val="006303A7"/>
    <w:rsid w:val="00633248"/>
    <w:rsid w:val="006340A5"/>
    <w:rsid w:val="0063736F"/>
    <w:rsid w:val="00637F38"/>
    <w:rsid w:val="006422AC"/>
    <w:rsid w:val="00642637"/>
    <w:rsid w:val="006447AC"/>
    <w:rsid w:val="00645D94"/>
    <w:rsid w:val="006504FF"/>
    <w:rsid w:val="006524DE"/>
    <w:rsid w:val="00655952"/>
    <w:rsid w:val="006605AA"/>
    <w:rsid w:val="00666674"/>
    <w:rsid w:val="00674E26"/>
    <w:rsid w:val="00683A55"/>
    <w:rsid w:val="00683ECD"/>
    <w:rsid w:val="006928ED"/>
    <w:rsid w:val="00694D01"/>
    <w:rsid w:val="006950A2"/>
    <w:rsid w:val="00696531"/>
    <w:rsid w:val="006A0686"/>
    <w:rsid w:val="006A2025"/>
    <w:rsid w:val="006A537E"/>
    <w:rsid w:val="006A5423"/>
    <w:rsid w:val="006B1B0E"/>
    <w:rsid w:val="006B4F16"/>
    <w:rsid w:val="006C2F7C"/>
    <w:rsid w:val="006C6BF2"/>
    <w:rsid w:val="006D0D89"/>
    <w:rsid w:val="006D1800"/>
    <w:rsid w:val="006D1E85"/>
    <w:rsid w:val="006D4946"/>
    <w:rsid w:val="006E3864"/>
    <w:rsid w:val="006F14AA"/>
    <w:rsid w:val="006F4B5C"/>
    <w:rsid w:val="006F5442"/>
    <w:rsid w:val="006F63AC"/>
    <w:rsid w:val="00703AE3"/>
    <w:rsid w:val="0070612C"/>
    <w:rsid w:val="00706BAE"/>
    <w:rsid w:val="00710FB0"/>
    <w:rsid w:val="0071103E"/>
    <w:rsid w:val="0071386D"/>
    <w:rsid w:val="00716847"/>
    <w:rsid w:val="007212D4"/>
    <w:rsid w:val="00742FDD"/>
    <w:rsid w:val="0074667B"/>
    <w:rsid w:val="00746A3B"/>
    <w:rsid w:val="00747397"/>
    <w:rsid w:val="007503F5"/>
    <w:rsid w:val="00755D94"/>
    <w:rsid w:val="0075633B"/>
    <w:rsid w:val="00756ACB"/>
    <w:rsid w:val="0076255D"/>
    <w:rsid w:val="00764B6E"/>
    <w:rsid w:val="0077584D"/>
    <w:rsid w:val="00780810"/>
    <w:rsid w:val="00783BBC"/>
    <w:rsid w:val="0078413C"/>
    <w:rsid w:val="0078782B"/>
    <w:rsid w:val="00790B4B"/>
    <w:rsid w:val="00792310"/>
    <w:rsid w:val="00792E11"/>
    <w:rsid w:val="00793BD8"/>
    <w:rsid w:val="00795DD3"/>
    <w:rsid w:val="00796854"/>
    <w:rsid w:val="00796D4D"/>
    <w:rsid w:val="007A7598"/>
    <w:rsid w:val="007B2EBE"/>
    <w:rsid w:val="007B32F8"/>
    <w:rsid w:val="007B3521"/>
    <w:rsid w:val="007C11B2"/>
    <w:rsid w:val="007C4603"/>
    <w:rsid w:val="007C6F1F"/>
    <w:rsid w:val="007D770D"/>
    <w:rsid w:val="007E1A6D"/>
    <w:rsid w:val="007E37C1"/>
    <w:rsid w:val="007E430E"/>
    <w:rsid w:val="007E638E"/>
    <w:rsid w:val="007F157C"/>
    <w:rsid w:val="007F17B4"/>
    <w:rsid w:val="007F2CC2"/>
    <w:rsid w:val="007F64FB"/>
    <w:rsid w:val="008004FD"/>
    <w:rsid w:val="008050BE"/>
    <w:rsid w:val="00817847"/>
    <w:rsid w:val="0082143C"/>
    <w:rsid w:val="0082480A"/>
    <w:rsid w:val="00827B8B"/>
    <w:rsid w:val="008370A6"/>
    <w:rsid w:val="00837741"/>
    <w:rsid w:val="00842076"/>
    <w:rsid w:val="00842179"/>
    <w:rsid w:val="0084330F"/>
    <w:rsid w:val="0084343C"/>
    <w:rsid w:val="00844054"/>
    <w:rsid w:val="00845B57"/>
    <w:rsid w:val="00852399"/>
    <w:rsid w:val="00854CB1"/>
    <w:rsid w:val="008550B2"/>
    <w:rsid w:val="00855B98"/>
    <w:rsid w:val="0086058E"/>
    <w:rsid w:val="0086233F"/>
    <w:rsid w:val="008625B5"/>
    <w:rsid w:val="008662A0"/>
    <w:rsid w:val="008664F3"/>
    <w:rsid w:val="00867793"/>
    <w:rsid w:val="00872117"/>
    <w:rsid w:val="00876302"/>
    <w:rsid w:val="00896BDE"/>
    <w:rsid w:val="00897D2A"/>
    <w:rsid w:val="008A684D"/>
    <w:rsid w:val="008A69EB"/>
    <w:rsid w:val="008B2595"/>
    <w:rsid w:val="008C2104"/>
    <w:rsid w:val="008C29E9"/>
    <w:rsid w:val="008C621C"/>
    <w:rsid w:val="008C75DB"/>
    <w:rsid w:val="008D4595"/>
    <w:rsid w:val="008D4743"/>
    <w:rsid w:val="008E02A7"/>
    <w:rsid w:val="008E1EF5"/>
    <w:rsid w:val="008F13E8"/>
    <w:rsid w:val="008F1B83"/>
    <w:rsid w:val="008F52C7"/>
    <w:rsid w:val="008F55B9"/>
    <w:rsid w:val="00902043"/>
    <w:rsid w:val="00902F2A"/>
    <w:rsid w:val="00915C12"/>
    <w:rsid w:val="00916D6C"/>
    <w:rsid w:val="00920201"/>
    <w:rsid w:val="009210C4"/>
    <w:rsid w:val="0093588A"/>
    <w:rsid w:val="00941855"/>
    <w:rsid w:val="0094323A"/>
    <w:rsid w:val="00946F9E"/>
    <w:rsid w:val="00952D36"/>
    <w:rsid w:val="00956A29"/>
    <w:rsid w:val="0096080C"/>
    <w:rsid w:val="00961A10"/>
    <w:rsid w:val="009638D3"/>
    <w:rsid w:val="00967A5E"/>
    <w:rsid w:val="009721F2"/>
    <w:rsid w:val="00977AD6"/>
    <w:rsid w:val="00981357"/>
    <w:rsid w:val="00983C0A"/>
    <w:rsid w:val="00987FB0"/>
    <w:rsid w:val="00994BED"/>
    <w:rsid w:val="00995B7F"/>
    <w:rsid w:val="00995D1C"/>
    <w:rsid w:val="009976DF"/>
    <w:rsid w:val="009B17B0"/>
    <w:rsid w:val="009B46DB"/>
    <w:rsid w:val="009B7ADA"/>
    <w:rsid w:val="009C5031"/>
    <w:rsid w:val="009D0675"/>
    <w:rsid w:val="009D1BA8"/>
    <w:rsid w:val="009D6108"/>
    <w:rsid w:val="009D6276"/>
    <w:rsid w:val="009D781A"/>
    <w:rsid w:val="009E2EBB"/>
    <w:rsid w:val="009E4CFB"/>
    <w:rsid w:val="009F3544"/>
    <w:rsid w:val="009F4B60"/>
    <w:rsid w:val="009F4B92"/>
    <w:rsid w:val="009F7C34"/>
    <w:rsid w:val="009F7DC1"/>
    <w:rsid w:val="00A012C1"/>
    <w:rsid w:val="00A02023"/>
    <w:rsid w:val="00A0360D"/>
    <w:rsid w:val="00A05359"/>
    <w:rsid w:val="00A05650"/>
    <w:rsid w:val="00A104E3"/>
    <w:rsid w:val="00A12473"/>
    <w:rsid w:val="00A128C3"/>
    <w:rsid w:val="00A12EF2"/>
    <w:rsid w:val="00A200A7"/>
    <w:rsid w:val="00A206B5"/>
    <w:rsid w:val="00A34317"/>
    <w:rsid w:val="00A3483F"/>
    <w:rsid w:val="00A35942"/>
    <w:rsid w:val="00A37979"/>
    <w:rsid w:val="00A41446"/>
    <w:rsid w:val="00A4162E"/>
    <w:rsid w:val="00A41660"/>
    <w:rsid w:val="00A42717"/>
    <w:rsid w:val="00A43C0E"/>
    <w:rsid w:val="00A44EC5"/>
    <w:rsid w:val="00A45F04"/>
    <w:rsid w:val="00A61AF4"/>
    <w:rsid w:val="00A67CE7"/>
    <w:rsid w:val="00A71087"/>
    <w:rsid w:val="00A73090"/>
    <w:rsid w:val="00A752CA"/>
    <w:rsid w:val="00A82524"/>
    <w:rsid w:val="00A82BAB"/>
    <w:rsid w:val="00A85FB9"/>
    <w:rsid w:val="00A9225E"/>
    <w:rsid w:val="00AA212E"/>
    <w:rsid w:val="00AA3B83"/>
    <w:rsid w:val="00AA6EEB"/>
    <w:rsid w:val="00AA702E"/>
    <w:rsid w:val="00AB590B"/>
    <w:rsid w:val="00AB66B1"/>
    <w:rsid w:val="00AC2A12"/>
    <w:rsid w:val="00AC7A0C"/>
    <w:rsid w:val="00AD4EE9"/>
    <w:rsid w:val="00AE14A5"/>
    <w:rsid w:val="00AE2282"/>
    <w:rsid w:val="00B0008E"/>
    <w:rsid w:val="00B009CE"/>
    <w:rsid w:val="00B00FD0"/>
    <w:rsid w:val="00B0292D"/>
    <w:rsid w:val="00B07E93"/>
    <w:rsid w:val="00B1728B"/>
    <w:rsid w:val="00B17299"/>
    <w:rsid w:val="00B21DDE"/>
    <w:rsid w:val="00B23688"/>
    <w:rsid w:val="00B23D3D"/>
    <w:rsid w:val="00B2504C"/>
    <w:rsid w:val="00B266CE"/>
    <w:rsid w:val="00B27310"/>
    <w:rsid w:val="00B31D72"/>
    <w:rsid w:val="00B33DCE"/>
    <w:rsid w:val="00B521D1"/>
    <w:rsid w:val="00B53632"/>
    <w:rsid w:val="00B553B7"/>
    <w:rsid w:val="00B567C3"/>
    <w:rsid w:val="00B72F25"/>
    <w:rsid w:val="00B809FF"/>
    <w:rsid w:val="00B83148"/>
    <w:rsid w:val="00B87500"/>
    <w:rsid w:val="00B913BE"/>
    <w:rsid w:val="00B93542"/>
    <w:rsid w:val="00B94A35"/>
    <w:rsid w:val="00B95F4F"/>
    <w:rsid w:val="00BA619E"/>
    <w:rsid w:val="00BB1D71"/>
    <w:rsid w:val="00BB3A5F"/>
    <w:rsid w:val="00BB7A7F"/>
    <w:rsid w:val="00BC09BA"/>
    <w:rsid w:val="00BC13A2"/>
    <w:rsid w:val="00BC5D39"/>
    <w:rsid w:val="00BC6F86"/>
    <w:rsid w:val="00BD08F0"/>
    <w:rsid w:val="00BD3BD4"/>
    <w:rsid w:val="00BE12DB"/>
    <w:rsid w:val="00BE1554"/>
    <w:rsid w:val="00BE6704"/>
    <w:rsid w:val="00BF4F77"/>
    <w:rsid w:val="00BF794A"/>
    <w:rsid w:val="00BF7F6C"/>
    <w:rsid w:val="00C0077C"/>
    <w:rsid w:val="00C07607"/>
    <w:rsid w:val="00C172F3"/>
    <w:rsid w:val="00C273CD"/>
    <w:rsid w:val="00C33A45"/>
    <w:rsid w:val="00C34163"/>
    <w:rsid w:val="00C36EA3"/>
    <w:rsid w:val="00C400EF"/>
    <w:rsid w:val="00C4084E"/>
    <w:rsid w:val="00C447EC"/>
    <w:rsid w:val="00C52A27"/>
    <w:rsid w:val="00C63C77"/>
    <w:rsid w:val="00C65DAE"/>
    <w:rsid w:val="00C70882"/>
    <w:rsid w:val="00C74E68"/>
    <w:rsid w:val="00C913DF"/>
    <w:rsid w:val="00CA092B"/>
    <w:rsid w:val="00CA34EB"/>
    <w:rsid w:val="00CA75FA"/>
    <w:rsid w:val="00CB208A"/>
    <w:rsid w:val="00CB3351"/>
    <w:rsid w:val="00CB5FD7"/>
    <w:rsid w:val="00CB6AEC"/>
    <w:rsid w:val="00CB7350"/>
    <w:rsid w:val="00CC17C4"/>
    <w:rsid w:val="00CC6B00"/>
    <w:rsid w:val="00CC6F93"/>
    <w:rsid w:val="00CD078D"/>
    <w:rsid w:val="00CD29BF"/>
    <w:rsid w:val="00CD6399"/>
    <w:rsid w:val="00CD7A85"/>
    <w:rsid w:val="00CE1A2C"/>
    <w:rsid w:val="00CE3FB7"/>
    <w:rsid w:val="00CE6B64"/>
    <w:rsid w:val="00CE7101"/>
    <w:rsid w:val="00CF38C9"/>
    <w:rsid w:val="00CF4B27"/>
    <w:rsid w:val="00CF513F"/>
    <w:rsid w:val="00D072F9"/>
    <w:rsid w:val="00D07757"/>
    <w:rsid w:val="00D11148"/>
    <w:rsid w:val="00D23B1B"/>
    <w:rsid w:val="00D240FE"/>
    <w:rsid w:val="00D24C6C"/>
    <w:rsid w:val="00D27544"/>
    <w:rsid w:val="00D31F5F"/>
    <w:rsid w:val="00D367E6"/>
    <w:rsid w:val="00D42067"/>
    <w:rsid w:val="00D44458"/>
    <w:rsid w:val="00D446C6"/>
    <w:rsid w:val="00D448EB"/>
    <w:rsid w:val="00D44B93"/>
    <w:rsid w:val="00D565E8"/>
    <w:rsid w:val="00D5786A"/>
    <w:rsid w:val="00D57CF6"/>
    <w:rsid w:val="00D64676"/>
    <w:rsid w:val="00D667CE"/>
    <w:rsid w:val="00D726BF"/>
    <w:rsid w:val="00D72C82"/>
    <w:rsid w:val="00D7303F"/>
    <w:rsid w:val="00D74384"/>
    <w:rsid w:val="00D74D9D"/>
    <w:rsid w:val="00D75FE1"/>
    <w:rsid w:val="00D83A94"/>
    <w:rsid w:val="00D862B9"/>
    <w:rsid w:val="00D86D65"/>
    <w:rsid w:val="00D87248"/>
    <w:rsid w:val="00D87619"/>
    <w:rsid w:val="00D913E8"/>
    <w:rsid w:val="00D92E90"/>
    <w:rsid w:val="00D9512C"/>
    <w:rsid w:val="00D95412"/>
    <w:rsid w:val="00DA1B26"/>
    <w:rsid w:val="00DA5706"/>
    <w:rsid w:val="00DA5A84"/>
    <w:rsid w:val="00DA7BBC"/>
    <w:rsid w:val="00DB4C3D"/>
    <w:rsid w:val="00DB70B3"/>
    <w:rsid w:val="00DC03EC"/>
    <w:rsid w:val="00DC144C"/>
    <w:rsid w:val="00DC1B26"/>
    <w:rsid w:val="00DC2CA4"/>
    <w:rsid w:val="00DC4630"/>
    <w:rsid w:val="00DC4C05"/>
    <w:rsid w:val="00DD18D5"/>
    <w:rsid w:val="00DD2411"/>
    <w:rsid w:val="00DE5CDA"/>
    <w:rsid w:val="00DE6A30"/>
    <w:rsid w:val="00DF57CD"/>
    <w:rsid w:val="00DF7441"/>
    <w:rsid w:val="00E032FD"/>
    <w:rsid w:val="00E04420"/>
    <w:rsid w:val="00E04626"/>
    <w:rsid w:val="00E052A9"/>
    <w:rsid w:val="00E1185C"/>
    <w:rsid w:val="00E148FB"/>
    <w:rsid w:val="00E16D74"/>
    <w:rsid w:val="00E16FD8"/>
    <w:rsid w:val="00E24563"/>
    <w:rsid w:val="00E27901"/>
    <w:rsid w:val="00E27FD7"/>
    <w:rsid w:val="00E32660"/>
    <w:rsid w:val="00E36287"/>
    <w:rsid w:val="00E4365B"/>
    <w:rsid w:val="00E4616C"/>
    <w:rsid w:val="00E47593"/>
    <w:rsid w:val="00E50548"/>
    <w:rsid w:val="00E610C0"/>
    <w:rsid w:val="00E66515"/>
    <w:rsid w:val="00E678B9"/>
    <w:rsid w:val="00E75C5F"/>
    <w:rsid w:val="00E83682"/>
    <w:rsid w:val="00E86440"/>
    <w:rsid w:val="00E87282"/>
    <w:rsid w:val="00E91068"/>
    <w:rsid w:val="00E92044"/>
    <w:rsid w:val="00EA3158"/>
    <w:rsid w:val="00EA6441"/>
    <w:rsid w:val="00EB4F9B"/>
    <w:rsid w:val="00EB54B5"/>
    <w:rsid w:val="00EC2F7C"/>
    <w:rsid w:val="00EC33CB"/>
    <w:rsid w:val="00EC44F3"/>
    <w:rsid w:val="00EC690E"/>
    <w:rsid w:val="00ED0D0C"/>
    <w:rsid w:val="00ED7178"/>
    <w:rsid w:val="00EE3138"/>
    <w:rsid w:val="00EE3E73"/>
    <w:rsid w:val="00EF6AD0"/>
    <w:rsid w:val="00F013F0"/>
    <w:rsid w:val="00F0181C"/>
    <w:rsid w:val="00F04BC7"/>
    <w:rsid w:val="00F141E7"/>
    <w:rsid w:val="00F17A39"/>
    <w:rsid w:val="00F201B7"/>
    <w:rsid w:val="00F21B72"/>
    <w:rsid w:val="00F23A59"/>
    <w:rsid w:val="00F26435"/>
    <w:rsid w:val="00F26F8C"/>
    <w:rsid w:val="00F276A1"/>
    <w:rsid w:val="00F27DB4"/>
    <w:rsid w:val="00F27E85"/>
    <w:rsid w:val="00F31CCB"/>
    <w:rsid w:val="00F41855"/>
    <w:rsid w:val="00F43396"/>
    <w:rsid w:val="00F443E7"/>
    <w:rsid w:val="00F5160E"/>
    <w:rsid w:val="00F51D22"/>
    <w:rsid w:val="00F529F5"/>
    <w:rsid w:val="00F52DFE"/>
    <w:rsid w:val="00F54D98"/>
    <w:rsid w:val="00F55CC3"/>
    <w:rsid w:val="00F571D0"/>
    <w:rsid w:val="00F67ED1"/>
    <w:rsid w:val="00F718FB"/>
    <w:rsid w:val="00F73343"/>
    <w:rsid w:val="00F73D6C"/>
    <w:rsid w:val="00F753AC"/>
    <w:rsid w:val="00F83AB6"/>
    <w:rsid w:val="00F85A2A"/>
    <w:rsid w:val="00F85E5D"/>
    <w:rsid w:val="00F86E7D"/>
    <w:rsid w:val="00F9347E"/>
    <w:rsid w:val="00F95727"/>
    <w:rsid w:val="00F96636"/>
    <w:rsid w:val="00F96D98"/>
    <w:rsid w:val="00F97797"/>
    <w:rsid w:val="00FA321E"/>
    <w:rsid w:val="00FA3601"/>
    <w:rsid w:val="00FA5DB3"/>
    <w:rsid w:val="00FB335A"/>
    <w:rsid w:val="00FB74E3"/>
    <w:rsid w:val="00FC239B"/>
    <w:rsid w:val="00FC2849"/>
    <w:rsid w:val="00FC3E6C"/>
    <w:rsid w:val="00FC5BF7"/>
    <w:rsid w:val="00FC607C"/>
    <w:rsid w:val="00FC74BC"/>
    <w:rsid w:val="00FD147E"/>
    <w:rsid w:val="00FD2EDF"/>
    <w:rsid w:val="00FD4336"/>
    <w:rsid w:val="00FE10EF"/>
    <w:rsid w:val="00FE1DF7"/>
    <w:rsid w:val="00FE2815"/>
    <w:rsid w:val="00FE3E47"/>
    <w:rsid w:val="00FE514A"/>
    <w:rsid w:val="00FF4957"/>
    <w:rsid w:val="00FF57BC"/>
    <w:rsid w:val="00FF76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723E590"/>
  <w15:docId w15:val="{995423E9-F75E-44B9-A239-E8D6CC0F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2460"/>
    <w:pPr>
      <w:tabs>
        <w:tab w:val="center" w:pos="4320"/>
        <w:tab w:val="right" w:pos="8640"/>
      </w:tabs>
    </w:pPr>
  </w:style>
  <w:style w:type="paragraph" w:styleId="Footer">
    <w:name w:val="footer"/>
    <w:basedOn w:val="Normal"/>
    <w:link w:val="FooterChar"/>
    <w:uiPriority w:val="99"/>
    <w:rsid w:val="00222460"/>
    <w:pPr>
      <w:tabs>
        <w:tab w:val="center" w:pos="4320"/>
        <w:tab w:val="right" w:pos="8640"/>
      </w:tabs>
    </w:pPr>
  </w:style>
  <w:style w:type="character" w:styleId="Hyperlink">
    <w:name w:val="Hyperlink"/>
    <w:uiPriority w:val="99"/>
    <w:unhideWhenUsed/>
    <w:rsid w:val="00085030"/>
    <w:rPr>
      <w:color w:val="0000FF"/>
      <w:u w:val="single"/>
    </w:rPr>
  </w:style>
  <w:style w:type="paragraph" w:styleId="PlainText">
    <w:name w:val="Plain Text"/>
    <w:basedOn w:val="Normal"/>
    <w:link w:val="PlainTextChar"/>
    <w:uiPriority w:val="99"/>
    <w:unhideWhenUsed/>
    <w:rsid w:val="00085030"/>
    <w:rPr>
      <w:rFonts w:ascii="Calibri" w:eastAsia="Calibri" w:hAnsi="Calibri"/>
      <w:sz w:val="22"/>
      <w:szCs w:val="21"/>
    </w:rPr>
  </w:style>
  <w:style w:type="character" w:customStyle="1" w:styleId="PlainTextChar">
    <w:name w:val="Plain Text Char"/>
    <w:link w:val="PlainText"/>
    <w:uiPriority w:val="99"/>
    <w:rsid w:val="00085030"/>
    <w:rPr>
      <w:rFonts w:ascii="Calibri" w:eastAsia="Calibri" w:hAnsi="Calibri" w:cs="Arial"/>
      <w:sz w:val="22"/>
      <w:szCs w:val="21"/>
    </w:rPr>
  </w:style>
  <w:style w:type="character" w:customStyle="1" w:styleId="FooterChar">
    <w:name w:val="Footer Char"/>
    <w:link w:val="Footer"/>
    <w:uiPriority w:val="99"/>
    <w:rsid w:val="001C2184"/>
    <w:rPr>
      <w:sz w:val="24"/>
      <w:szCs w:val="24"/>
    </w:rPr>
  </w:style>
  <w:style w:type="character" w:customStyle="1" w:styleId="HeaderChar">
    <w:name w:val="Header Char"/>
    <w:link w:val="Header"/>
    <w:uiPriority w:val="99"/>
    <w:rsid w:val="001C2184"/>
    <w:rPr>
      <w:sz w:val="24"/>
      <w:szCs w:val="24"/>
    </w:rPr>
  </w:style>
  <w:style w:type="character" w:styleId="PageNumber">
    <w:name w:val="page number"/>
    <w:uiPriority w:val="99"/>
    <w:unhideWhenUsed/>
    <w:rsid w:val="00A82524"/>
  </w:style>
  <w:style w:type="paragraph" w:styleId="ListParagraph">
    <w:name w:val="List Paragraph"/>
    <w:basedOn w:val="Normal"/>
    <w:uiPriority w:val="34"/>
    <w:qFormat/>
    <w:rsid w:val="000422EF"/>
    <w:pPr>
      <w:ind w:left="720"/>
      <w:contextualSpacing/>
    </w:pPr>
    <w:rPr>
      <w:rFonts w:eastAsia="Calibri"/>
    </w:rPr>
  </w:style>
  <w:style w:type="table" w:styleId="TableGrid">
    <w:name w:val="Table Grid"/>
    <w:basedOn w:val="TableNormal"/>
    <w:uiPriority w:val="59"/>
    <w:rsid w:val="000422E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32D5"/>
    <w:rPr>
      <w:rFonts w:ascii="Tahoma" w:hAnsi="Tahoma" w:cs="Tahoma"/>
      <w:sz w:val="16"/>
      <w:szCs w:val="16"/>
    </w:rPr>
  </w:style>
  <w:style w:type="character" w:customStyle="1" w:styleId="BalloonTextChar">
    <w:name w:val="Balloon Text Char"/>
    <w:basedOn w:val="DefaultParagraphFont"/>
    <w:link w:val="BalloonText"/>
    <w:rsid w:val="001232D5"/>
    <w:rPr>
      <w:rFonts w:ascii="Tahoma" w:hAnsi="Tahoma" w:cs="Tahoma"/>
      <w:sz w:val="16"/>
      <w:szCs w:val="16"/>
    </w:rPr>
  </w:style>
  <w:style w:type="character" w:customStyle="1" w:styleId="apple-converted-space">
    <w:name w:val="apple-converted-space"/>
    <w:basedOn w:val="DefaultParagraphFont"/>
    <w:rsid w:val="007F64FB"/>
  </w:style>
  <w:style w:type="table" w:styleId="MediumGrid3-Accent1">
    <w:name w:val="Medium Grid 3 Accent 1"/>
    <w:basedOn w:val="TableNormal"/>
    <w:uiPriority w:val="69"/>
    <w:rsid w:val="00CA34EB"/>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textexposedshow">
    <w:name w:val="text_exposed_show"/>
    <w:basedOn w:val="DefaultParagraphFont"/>
    <w:rsid w:val="00DB4C3D"/>
  </w:style>
  <w:style w:type="character" w:styleId="FollowedHyperlink">
    <w:name w:val="FollowedHyperlink"/>
    <w:basedOn w:val="DefaultParagraphFont"/>
    <w:semiHidden/>
    <w:unhideWhenUsed/>
    <w:rsid w:val="009976DF"/>
    <w:rPr>
      <w:color w:val="800080" w:themeColor="followedHyperlink"/>
      <w:u w:val="single"/>
    </w:rPr>
  </w:style>
  <w:style w:type="paragraph" w:styleId="NormalWeb">
    <w:name w:val="Normal (Web)"/>
    <w:basedOn w:val="Normal"/>
    <w:uiPriority w:val="99"/>
    <w:unhideWhenUsed/>
    <w:rsid w:val="00C33A45"/>
    <w:pPr>
      <w:spacing w:before="100" w:beforeAutospacing="1" w:after="100" w:afterAutospacing="1"/>
    </w:pPr>
  </w:style>
  <w:style w:type="table" w:customStyle="1" w:styleId="GridTable4-Accent11">
    <w:name w:val="Grid Table 4 - Accent 11"/>
    <w:basedOn w:val="TableNormal"/>
    <w:uiPriority w:val="49"/>
    <w:rsid w:val="00DA1B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5A5A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UnresolvedMention1">
    <w:name w:val="Unresolved Mention1"/>
    <w:basedOn w:val="DefaultParagraphFont"/>
    <w:uiPriority w:val="99"/>
    <w:semiHidden/>
    <w:unhideWhenUsed/>
    <w:rsid w:val="005D2AC9"/>
    <w:rPr>
      <w:color w:val="605E5C"/>
      <w:shd w:val="clear" w:color="auto" w:fill="E1DFDD"/>
    </w:rPr>
  </w:style>
  <w:style w:type="paragraph" w:styleId="FootnoteText">
    <w:name w:val="footnote text"/>
    <w:basedOn w:val="Normal"/>
    <w:link w:val="FootnoteTextChar"/>
    <w:uiPriority w:val="99"/>
    <w:semiHidden/>
    <w:unhideWhenUsed/>
    <w:rsid w:val="00B21DD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21DD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B21DDE"/>
    <w:rPr>
      <w:vertAlign w:val="superscript"/>
    </w:rPr>
  </w:style>
  <w:style w:type="table" w:styleId="LightShading-Accent1">
    <w:name w:val="Light Shading Accent 1"/>
    <w:basedOn w:val="TableNormal"/>
    <w:uiPriority w:val="60"/>
    <w:rsid w:val="00B21D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6928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00">
    <w:name w:val="p00"/>
    <w:basedOn w:val="Normal"/>
    <w:rsid w:val="00995B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36">
      <w:bodyDiv w:val="1"/>
      <w:marLeft w:val="0"/>
      <w:marRight w:val="0"/>
      <w:marTop w:val="0"/>
      <w:marBottom w:val="0"/>
      <w:divBdr>
        <w:top w:val="none" w:sz="0" w:space="0" w:color="auto"/>
        <w:left w:val="none" w:sz="0" w:space="0" w:color="auto"/>
        <w:bottom w:val="none" w:sz="0" w:space="0" w:color="auto"/>
        <w:right w:val="none" w:sz="0" w:space="0" w:color="auto"/>
      </w:divBdr>
    </w:div>
    <w:div w:id="61949117">
      <w:bodyDiv w:val="1"/>
      <w:marLeft w:val="0"/>
      <w:marRight w:val="0"/>
      <w:marTop w:val="0"/>
      <w:marBottom w:val="0"/>
      <w:divBdr>
        <w:top w:val="none" w:sz="0" w:space="0" w:color="auto"/>
        <w:left w:val="none" w:sz="0" w:space="0" w:color="auto"/>
        <w:bottom w:val="none" w:sz="0" w:space="0" w:color="auto"/>
        <w:right w:val="none" w:sz="0" w:space="0" w:color="auto"/>
      </w:divBdr>
    </w:div>
    <w:div w:id="98838986">
      <w:bodyDiv w:val="1"/>
      <w:marLeft w:val="0"/>
      <w:marRight w:val="0"/>
      <w:marTop w:val="0"/>
      <w:marBottom w:val="0"/>
      <w:divBdr>
        <w:top w:val="none" w:sz="0" w:space="0" w:color="auto"/>
        <w:left w:val="none" w:sz="0" w:space="0" w:color="auto"/>
        <w:bottom w:val="none" w:sz="0" w:space="0" w:color="auto"/>
        <w:right w:val="none" w:sz="0" w:space="0" w:color="auto"/>
      </w:divBdr>
    </w:div>
    <w:div w:id="294529899">
      <w:bodyDiv w:val="1"/>
      <w:marLeft w:val="0"/>
      <w:marRight w:val="0"/>
      <w:marTop w:val="0"/>
      <w:marBottom w:val="0"/>
      <w:divBdr>
        <w:top w:val="none" w:sz="0" w:space="0" w:color="auto"/>
        <w:left w:val="none" w:sz="0" w:space="0" w:color="auto"/>
        <w:bottom w:val="none" w:sz="0" w:space="0" w:color="auto"/>
        <w:right w:val="none" w:sz="0" w:space="0" w:color="auto"/>
      </w:divBdr>
    </w:div>
    <w:div w:id="330185688">
      <w:bodyDiv w:val="1"/>
      <w:marLeft w:val="0"/>
      <w:marRight w:val="0"/>
      <w:marTop w:val="0"/>
      <w:marBottom w:val="0"/>
      <w:divBdr>
        <w:top w:val="none" w:sz="0" w:space="0" w:color="auto"/>
        <w:left w:val="none" w:sz="0" w:space="0" w:color="auto"/>
        <w:bottom w:val="none" w:sz="0" w:space="0" w:color="auto"/>
        <w:right w:val="none" w:sz="0" w:space="0" w:color="auto"/>
      </w:divBdr>
    </w:div>
    <w:div w:id="370300829">
      <w:bodyDiv w:val="1"/>
      <w:marLeft w:val="0"/>
      <w:marRight w:val="0"/>
      <w:marTop w:val="0"/>
      <w:marBottom w:val="0"/>
      <w:divBdr>
        <w:top w:val="none" w:sz="0" w:space="0" w:color="auto"/>
        <w:left w:val="none" w:sz="0" w:space="0" w:color="auto"/>
        <w:bottom w:val="none" w:sz="0" w:space="0" w:color="auto"/>
        <w:right w:val="none" w:sz="0" w:space="0" w:color="auto"/>
      </w:divBdr>
    </w:div>
    <w:div w:id="444926326">
      <w:bodyDiv w:val="1"/>
      <w:marLeft w:val="0"/>
      <w:marRight w:val="0"/>
      <w:marTop w:val="0"/>
      <w:marBottom w:val="0"/>
      <w:divBdr>
        <w:top w:val="none" w:sz="0" w:space="0" w:color="auto"/>
        <w:left w:val="none" w:sz="0" w:space="0" w:color="auto"/>
        <w:bottom w:val="none" w:sz="0" w:space="0" w:color="auto"/>
        <w:right w:val="none" w:sz="0" w:space="0" w:color="auto"/>
      </w:divBdr>
    </w:div>
    <w:div w:id="531922446">
      <w:bodyDiv w:val="1"/>
      <w:marLeft w:val="0"/>
      <w:marRight w:val="0"/>
      <w:marTop w:val="0"/>
      <w:marBottom w:val="0"/>
      <w:divBdr>
        <w:top w:val="none" w:sz="0" w:space="0" w:color="auto"/>
        <w:left w:val="none" w:sz="0" w:space="0" w:color="auto"/>
        <w:bottom w:val="none" w:sz="0" w:space="0" w:color="auto"/>
        <w:right w:val="none" w:sz="0" w:space="0" w:color="auto"/>
      </w:divBdr>
    </w:div>
    <w:div w:id="745734545">
      <w:bodyDiv w:val="1"/>
      <w:marLeft w:val="0"/>
      <w:marRight w:val="0"/>
      <w:marTop w:val="0"/>
      <w:marBottom w:val="0"/>
      <w:divBdr>
        <w:top w:val="none" w:sz="0" w:space="0" w:color="auto"/>
        <w:left w:val="none" w:sz="0" w:space="0" w:color="auto"/>
        <w:bottom w:val="none" w:sz="0" w:space="0" w:color="auto"/>
        <w:right w:val="none" w:sz="0" w:space="0" w:color="auto"/>
      </w:divBdr>
    </w:div>
    <w:div w:id="900288888">
      <w:bodyDiv w:val="1"/>
      <w:marLeft w:val="0"/>
      <w:marRight w:val="0"/>
      <w:marTop w:val="0"/>
      <w:marBottom w:val="0"/>
      <w:divBdr>
        <w:top w:val="none" w:sz="0" w:space="0" w:color="auto"/>
        <w:left w:val="none" w:sz="0" w:space="0" w:color="auto"/>
        <w:bottom w:val="none" w:sz="0" w:space="0" w:color="auto"/>
        <w:right w:val="none" w:sz="0" w:space="0" w:color="auto"/>
      </w:divBdr>
    </w:div>
    <w:div w:id="960041460">
      <w:bodyDiv w:val="1"/>
      <w:marLeft w:val="0"/>
      <w:marRight w:val="0"/>
      <w:marTop w:val="0"/>
      <w:marBottom w:val="0"/>
      <w:divBdr>
        <w:top w:val="none" w:sz="0" w:space="0" w:color="auto"/>
        <w:left w:val="none" w:sz="0" w:space="0" w:color="auto"/>
        <w:bottom w:val="none" w:sz="0" w:space="0" w:color="auto"/>
        <w:right w:val="none" w:sz="0" w:space="0" w:color="auto"/>
      </w:divBdr>
    </w:div>
    <w:div w:id="1012532322">
      <w:bodyDiv w:val="1"/>
      <w:marLeft w:val="0"/>
      <w:marRight w:val="0"/>
      <w:marTop w:val="0"/>
      <w:marBottom w:val="0"/>
      <w:divBdr>
        <w:top w:val="none" w:sz="0" w:space="0" w:color="auto"/>
        <w:left w:val="none" w:sz="0" w:space="0" w:color="auto"/>
        <w:bottom w:val="none" w:sz="0" w:space="0" w:color="auto"/>
        <w:right w:val="none" w:sz="0" w:space="0" w:color="auto"/>
      </w:divBdr>
    </w:div>
    <w:div w:id="1044328676">
      <w:bodyDiv w:val="1"/>
      <w:marLeft w:val="0"/>
      <w:marRight w:val="0"/>
      <w:marTop w:val="0"/>
      <w:marBottom w:val="0"/>
      <w:divBdr>
        <w:top w:val="none" w:sz="0" w:space="0" w:color="auto"/>
        <w:left w:val="none" w:sz="0" w:space="0" w:color="auto"/>
        <w:bottom w:val="none" w:sz="0" w:space="0" w:color="auto"/>
        <w:right w:val="none" w:sz="0" w:space="0" w:color="auto"/>
      </w:divBdr>
    </w:div>
    <w:div w:id="1270743933">
      <w:bodyDiv w:val="1"/>
      <w:marLeft w:val="0"/>
      <w:marRight w:val="0"/>
      <w:marTop w:val="0"/>
      <w:marBottom w:val="0"/>
      <w:divBdr>
        <w:top w:val="none" w:sz="0" w:space="0" w:color="auto"/>
        <w:left w:val="none" w:sz="0" w:space="0" w:color="auto"/>
        <w:bottom w:val="none" w:sz="0" w:space="0" w:color="auto"/>
        <w:right w:val="none" w:sz="0" w:space="0" w:color="auto"/>
      </w:divBdr>
    </w:div>
    <w:div w:id="1290866099">
      <w:bodyDiv w:val="1"/>
      <w:marLeft w:val="0"/>
      <w:marRight w:val="0"/>
      <w:marTop w:val="0"/>
      <w:marBottom w:val="0"/>
      <w:divBdr>
        <w:top w:val="none" w:sz="0" w:space="0" w:color="auto"/>
        <w:left w:val="none" w:sz="0" w:space="0" w:color="auto"/>
        <w:bottom w:val="none" w:sz="0" w:space="0" w:color="auto"/>
        <w:right w:val="none" w:sz="0" w:space="0" w:color="auto"/>
      </w:divBdr>
    </w:div>
    <w:div w:id="1448701394">
      <w:bodyDiv w:val="1"/>
      <w:marLeft w:val="0"/>
      <w:marRight w:val="0"/>
      <w:marTop w:val="0"/>
      <w:marBottom w:val="0"/>
      <w:divBdr>
        <w:top w:val="none" w:sz="0" w:space="0" w:color="auto"/>
        <w:left w:val="none" w:sz="0" w:space="0" w:color="auto"/>
        <w:bottom w:val="none" w:sz="0" w:space="0" w:color="auto"/>
        <w:right w:val="none" w:sz="0" w:space="0" w:color="auto"/>
      </w:divBdr>
    </w:div>
    <w:div w:id="1463619229">
      <w:bodyDiv w:val="1"/>
      <w:marLeft w:val="0"/>
      <w:marRight w:val="0"/>
      <w:marTop w:val="0"/>
      <w:marBottom w:val="0"/>
      <w:divBdr>
        <w:top w:val="none" w:sz="0" w:space="0" w:color="auto"/>
        <w:left w:val="none" w:sz="0" w:space="0" w:color="auto"/>
        <w:bottom w:val="none" w:sz="0" w:space="0" w:color="auto"/>
        <w:right w:val="none" w:sz="0" w:space="0" w:color="auto"/>
      </w:divBdr>
    </w:div>
    <w:div w:id="1598826442">
      <w:bodyDiv w:val="1"/>
      <w:marLeft w:val="0"/>
      <w:marRight w:val="0"/>
      <w:marTop w:val="0"/>
      <w:marBottom w:val="0"/>
      <w:divBdr>
        <w:top w:val="none" w:sz="0" w:space="0" w:color="auto"/>
        <w:left w:val="none" w:sz="0" w:space="0" w:color="auto"/>
        <w:bottom w:val="none" w:sz="0" w:space="0" w:color="auto"/>
        <w:right w:val="none" w:sz="0" w:space="0" w:color="auto"/>
      </w:divBdr>
    </w:div>
    <w:div w:id="1616017381">
      <w:bodyDiv w:val="1"/>
      <w:marLeft w:val="0"/>
      <w:marRight w:val="0"/>
      <w:marTop w:val="0"/>
      <w:marBottom w:val="0"/>
      <w:divBdr>
        <w:top w:val="none" w:sz="0" w:space="0" w:color="auto"/>
        <w:left w:val="none" w:sz="0" w:space="0" w:color="auto"/>
        <w:bottom w:val="none" w:sz="0" w:space="0" w:color="auto"/>
        <w:right w:val="none" w:sz="0" w:space="0" w:color="auto"/>
      </w:divBdr>
      <w:divsChild>
        <w:div w:id="403646332">
          <w:marLeft w:val="0"/>
          <w:marRight w:val="-115"/>
          <w:marTop w:val="0"/>
          <w:marBottom w:val="0"/>
          <w:divBdr>
            <w:top w:val="none" w:sz="0" w:space="0" w:color="auto"/>
            <w:left w:val="none" w:sz="0" w:space="0" w:color="auto"/>
            <w:bottom w:val="none" w:sz="0" w:space="0" w:color="auto"/>
            <w:right w:val="none" w:sz="0" w:space="0" w:color="auto"/>
          </w:divBdr>
        </w:div>
      </w:divsChild>
    </w:div>
    <w:div w:id="1629818097">
      <w:bodyDiv w:val="1"/>
      <w:marLeft w:val="0"/>
      <w:marRight w:val="0"/>
      <w:marTop w:val="0"/>
      <w:marBottom w:val="0"/>
      <w:divBdr>
        <w:top w:val="none" w:sz="0" w:space="0" w:color="auto"/>
        <w:left w:val="none" w:sz="0" w:space="0" w:color="auto"/>
        <w:bottom w:val="none" w:sz="0" w:space="0" w:color="auto"/>
        <w:right w:val="none" w:sz="0" w:space="0" w:color="auto"/>
      </w:divBdr>
    </w:div>
    <w:div w:id="1639874168">
      <w:bodyDiv w:val="1"/>
      <w:marLeft w:val="0"/>
      <w:marRight w:val="0"/>
      <w:marTop w:val="0"/>
      <w:marBottom w:val="0"/>
      <w:divBdr>
        <w:top w:val="none" w:sz="0" w:space="0" w:color="auto"/>
        <w:left w:val="none" w:sz="0" w:space="0" w:color="auto"/>
        <w:bottom w:val="none" w:sz="0" w:space="0" w:color="auto"/>
        <w:right w:val="none" w:sz="0" w:space="0" w:color="auto"/>
      </w:divBdr>
    </w:div>
    <w:div w:id="2024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haaretz.co.il/news/education/.premium-1.72506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ynet.co.il/articles/0,7340,L-5535107,00.html"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haaretz.co.il/news/education/.premium-1.725062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mployment.molsa.gov.il/Employment/SafetyAndHealth/ResearchAndProjects/Reports/Reports/OccupationalSafetyReport2016S1.pdf" TargetMode="External"/><Relationship Id="rId2" Type="http://schemas.openxmlformats.org/officeDocument/2006/relationships/hyperlink" Target="https://employment.molsa.gov.il/Employment/SafetyAndHealth/ResearchAndProjects/Reports/Reports/OccupationalSafetyReport2013-2017.pdf" TargetMode="External"/><Relationship Id="rId1" Type="http://schemas.openxmlformats.org/officeDocument/2006/relationships/hyperlink" Target="https://employment.molsa.gov.il/Employment/SafetyAndHealth/ResearchAndProjects/Reports/Reports/OccupationalSafetyReport2016S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he-IL" sz="1300"/>
              <a:t>הרוגים לפי ענף תעסוקתי - מחצית ראשונה 2019</a:t>
            </a:r>
          </a:p>
        </c:rich>
      </c:tx>
      <c:layout>
        <c:manualLayout>
          <c:xMode val="edge"/>
          <c:yMode val="edge"/>
          <c:x val="0.15736838359766253"/>
          <c:y val="0"/>
        </c:manualLayout>
      </c:layout>
      <c:overlay val="1"/>
    </c:title>
    <c:autoTitleDeleted val="0"/>
    <c:plotArea>
      <c:layout>
        <c:manualLayout>
          <c:layoutTarget val="inner"/>
          <c:xMode val="edge"/>
          <c:yMode val="edge"/>
          <c:x val="0.35247780885705515"/>
          <c:y val="0.13013470014361411"/>
          <c:w val="0.35110306283583143"/>
          <c:h val="0.80654335660872589"/>
        </c:manualLayout>
      </c:layout>
      <c:pieChart>
        <c:varyColors val="1"/>
        <c:ser>
          <c:idx val="0"/>
          <c:order val="0"/>
          <c:tx>
            <c:strRef>
              <c:f>Sheet1!$B$1</c:f>
              <c:strCache>
                <c:ptCount val="1"/>
                <c:pt idx="0">
                  <c:v>הרוגים לפי ענף תעסוקתי - מחצית ראושנה 2019</c:v>
                </c:pt>
              </c:strCache>
            </c:strRef>
          </c:tx>
          <c:dLbls>
            <c:spPr>
              <a:noFill/>
              <a:ln>
                <a:noFill/>
              </a:ln>
              <a:effectLst/>
            </c:spPr>
            <c:txPr>
              <a:bodyPr/>
              <a:lstStyle/>
              <a:p>
                <a:pPr>
                  <a:defRPr sz="700" b="1"/>
                </a:pPr>
                <a:endParaRPr lang="en-IL"/>
              </a:p>
            </c:txPr>
            <c:dLblPos val="inEnd"/>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בנין (24)</c:v>
                </c:pt>
                <c:pt idx="1">
                  <c:v>תעשיה (6)</c:v>
                </c:pt>
                <c:pt idx="2">
                  <c:v>שירותים ומסחר (10)</c:v>
                </c:pt>
                <c:pt idx="3">
                  <c:v>חקלאות (3)</c:v>
                </c:pt>
              </c:strCache>
            </c:strRef>
          </c:cat>
          <c:val>
            <c:numRef>
              <c:f>Sheet1!$B$2:$B$5</c:f>
              <c:numCache>
                <c:formatCode>General</c:formatCode>
                <c:ptCount val="4"/>
                <c:pt idx="0">
                  <c:v>24</c:v>
                </c:pt>
                <c:pt idx="1">
                  <c:v>6</c:v>
                </c:pt>
                <c:pt idx="2">
                  <c:v>10</c:v>
                </c:pt>
                <c:pt idx="3">
                  <c:v>3</c:v>
                </c:pt>
              </c:numCache>
            </c:numRef>
          </c:val>
          <c:extLst>
            <c:ext xmlns:c16="http://schemas.microsoft.com/office/drawing/2014/chart" uri="{C3380CC4-5D6E-409C-BE32-E72D297353CC}">
              <c16:uniqueId val="{00000000-5E53-4229-94D3-AFDD55319B5F}"/>
            </c:ext>
          </c:extLst>
        </c:ser>
        <c:dLbls>
          <c:dLblPos val="inEnd"/>
          <c:showLegendKey val="0"/>
          <c:showVal val="0"/>
          <c:showCatName val="1"/>
          <c:showSerName val="0"/>
          <c:showPercent val="1"/>
          <c:showBubbleSize val="0"/>
          <c:showLeaderLines val="1"/>
        </c:dLbls>
        <c:firstSliceAng val="0"/>
      </c:pieChart>
    </c:plotArea>
    <c:plotVisOnly val="1"/>
    <c:dispBlanksAs val="gap"/>
    <c:showDLblsOverMax val="0"/>
  </c:chart>
  <c:spPr>
    <a:solidFill>
      <a:schemeClr val="tx2">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a:pPr>
            <a:r>
              <a:rPr lang="he-IL" sz="1400"/>
              <a:t>הרוגים בתאונות עבודה לפי ענף - </a:t>
            </a:r>
          </a:p>
          <a:p>
            <a:pPr rtl="1">
              <a:defRPr/>
            </a:pPr>
            <a:r>
              <a:rPr lang="he-IL" sz="1400"/>
              <a:t>במחצית הראשונה</a:t>
            </a:r>
            <a:r>
              <a:rPr lang="he-IL" sz="1400" baseline="0"/>
              <a:t> של השנים 2015-2019</a:t>
            </a:r>
            <a:endParaRPr lang="en-US" sz="1400"/>
          </a:p>
        </c:rich>
      </c:tx>
      <c:overlay val="0"/>
    </c:title>
    <c:autoTitleDeleted val="0"/>
    <c:plotArea>
      <c:layout/>
      <c:lineChart>
        <c:grouping val="standard"/>
        <c:varyColors val="0"/>
        <c:ser>
          <c:idx val="0"/>
          <c:order val="0"/>
          <c:tx>
            <c:strRef>
              <c:f>Sheet1!$B$1</c:f>
              <c:strCache>
                <c:ptCount val="1"/>
                <c:pt idx="0">
                  <c:v>בכל הענפים</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17</c:v>
                </c:pt>
                <c:pt idx="1">
                  <c:v>32</c:v>
                </c:pt>
                <c:pt idx="2">
                  <c:v>25</c:v>
                </c:pt>
                <c:pt idx="3">
                  <c:v>33</c:v>
                </c:pt>
                <c:pt idx="4">
                  <c:v>43</c:v>
                </c:pt>
              </c:numCache>
            </c:numRef>
          </c:val>
          <c:smooth val="0"/>
          <c:extLst>
            <c:ext xmlns:c16="http://schemas.microsoft.com/office/drawing/2014/chart" uri="{C3380CC4-5D6E-409C-BE32-E72D297353CC}">
              <c16:uniqueId val="{00000000-D35C-43F8-A80A-23E7BE4751AB}"/>
            </c:ext>
          </c:extLst>
        </c:ser>
        <c:ser>
          <c:idx val="1"/>
          <c:order val="1"/>
          <c:tx>
            <c:strRef>
              <c:f>Sheet1!$C$1</c:f>
              <c:strCache>
                <c:ptCount val="1"/>
                <c:pt idx="0">
                  <c:v>בענף הבניה</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2015</c:v>
                </c:pt>
                <c:pt idx="1">
                  <c:v>2016</c:v>
                </c:pt>
                <c:pt idx="2">
                  <c:v>2017</c:v>
                </c:pt>
                <c:pt idx="3">
                  <c:v>2018</c:v>
                </c:pt>
                <c:pt idx="4">
                  <c:v>2019</c:v>
                </c:pt>
              </c:numCache>
            </c:numRef>
          </c:cat>
          <c:val>
            <c:numRef>
              <c:f>Sheet1!$C$2:$C$6</c:f>
              <c:numCache>
                <c:formatCode>General</c:formatCode>
                <c:ptCount val="5"/>
                <c:pt idx="0">
                  <c:v>8</c:v>
                </c:pt>
                <c:pt idx="1">
                  <c:v>19</c:v>
                </c:pt>
                <c:pt idx="2">
                  <c:v>16</c:v>
                </c:pt>
                <c:pt idx="3">
                  <c:v>19</c:v>
                </c:pt>
                <c:pt idx="4">
                  <c:v>24</c:v>
                </c:pt>
              </c:numCache>
            </c:numRef>
          </c:val>
          <c:smooth val="0"/>
          <c:extLst>
            <c:ext xmlns:c16="http://schemas.microsoft.com/office/drawing/2014/chart" uri="{C3380CC4-5D6E-409C-BE32-E72D297353CC}">
              <c16:uniqueId val="{00000001-D35C-43F8-A80A-23E7BE4751AB}"/>
            </c:ext>
          </c:extLst>
        </c:ser>
        <c:ser>
          <c:idx val="2"/>
          <c:order val="2"/>
          <c:tx>
            <c:strRef>
              <c:f>Sheet1!$D$1</c:f>
              <c:strCache>
                <c:ptCount val="1"/>
                <c:pt idx="0">
                  <c:v>ענף תעשיה</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2015</c:v>
                </c:pt>
                <c:pt idx="1">
                  <c:v>2016</c:v>
                </c:pt>
                <c:pt idx="2">
                  <c:v>2017</c:v>
                </c:pt>
                <c:pt idx="3">
                  <c:v>2018</c:v>
                </c:pt>
                <c:pt idx="4">
                  <c:v>2019</c:v>
                </c:pt>
              </c:numCache>
            </c:numRef>
          </c:cat>
          <c:val>
            <c:numRef>
              <c:f>Sheet1!$D$2:$D$6</c:f>
              <c:numCache>
                <c:formatCode>General</c:formatCode>
                <c:ptCount val="5"/>
                <c:pt idx="0">
                  <c:v>3</c:v>
                </c:pt>
                <c:pt idx="1">
                  <c:v>5</c:v>
                </c:pt>
                <c:pt idx="2">
                  <c:v>5</c:v>
                </c:pt>
                <c:pt idx="3">
                  <c:v>5</c:v>
                </c:pt>
                <c:pt idx="4">
                  <c:v>6</c:v>
                </c:pt>
              </c:numCache>
            </c:numRef>
          </c:val>
          <c:smooth val="0"/>
          <c:extLst>
            <c:ext xmlns:c16="http://schemas.microsoft.com/office/drawing/2014/chart" uri="{C3380CC4-5D6E-409C-BE32-E72D297353CC}">
              <c16:uniqueId val="{00000002-D35C-43F8-A80A-23E7BE4751AB}"/>
            </c:ext>
          </c:extLst>
        </c:ser>
        <c:ser>
          <c:idx val="3"/>
          <c:order val="3"/>
          <c:tx>
            <c:strRef>
              <c:f>Sheet1!$E$1</c:f>
              <c:strCache>
                <c:ptCount val="1"/>
                <c:pt idx="0">
                  <c:v>ענף שירותים ומסחר</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2015</c:v>
                </c:pt>
                <c:pt idx="1">
                  <c:v>2016</c:v>
                </c:pt>
                <c:pt idx="2">
                  <c:v>2017</c:v>
                </c:pt>
                <c:pt idx="3">
                  <c:v>2018</c:v>
                </c:pt>
                <c:pt idx="4">
                  <c:v>2019</c:v>
                </c:pt>
              </c:numCache>
            </c:numRef>
          </c:cat>
          <c:val>
            <c:numRef>
              <c:f>Sheet1!$E$2:$E$6</c:f>
              <c:numCache>
                <c:formatCode>General</c:formatCode>
                <c:ptCount val="5"/>
                <c:pt idx="0">
                  <c:v>5</c:v>
                </c:pt>
                <c:pt idx="1">
                  <c:v>5</c:v>
                </c:pt>
                <c:pt idx="2">
                  <c:v>4</c:v>
                </c:pt>
                <c:pt idx="3">
                  <c:v>6</c:v>
                </c:pt>
                <c:pt idx="4">
                  <c:v>10</c:v>
                </c:pt>
              </c:numCache>
            </c:numRef>
          </c:val>
          <c:smooth val="0"/>
          <c:extLst>
            <c:ext xmlns:c16="http://schemas.microsoft.com/office/drawing/2014/chart" uri="{C3380CC4-5D6E-409C-BE32-E72D297353CC}">
              <c16:uniqueId val="{00000003-D35C-43F8-A80A-23E7BE4751AB}"/>
            </c:ext>
          </c:extLst>
        </c:ser>
        <c:ser>
          <c:idx val="4"/>
          <c:order val="4"/>
          <c:tx>
            <c:strRef>
              <c:f>Sheet1!$F$1</c:f>
              <c:strCache>
                <c:ptCount val="1"/>
                <c:pt idx="0">
                  <c:v>חקלאות</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2015</c:v>
                </c:pt>
                <c:pt idx="1">
                  <c:v>2016</c:v>
                </c:pt>
                <c:pt idx="2">
                  <c:v>2017</c:v>
                </c:pt>
                <c:pt idx="3">
                  <c:v>2018</c:v>
                </c:pt>
                <c:pt idx="4">
                  <c:v>2019</c:v>
                </c:pt>
              </c:numCache>
            </c:numRef>
          </c:cat>
          <c:val>
            <c:numRef>
              <c:f>Sheet1!$F$2:$F$6</c:f>
              <c:numCache>
                <c:formatCode>General</c:formatCode>
                <c:ptCount val="5"/>
                <c:pt idx="0">
                  <c:v>1</c:v>
                </c:pt>
                <c:pt idx="1">
                  <c:v>3</c:v>
                </c:pt>
                <c:pt idx="2">
                  <c:v>1</c:v>
                </c:pt>
                <c:pt idx="3">
                  <c:v>2</c:v>
                </c:pt>
                <c:pt idx="4">
                  <c:v>3</c:v>
                </c:pt>
              </c:numCache>
            </c:numRef>
          </c:val>
          <c:smooth val="0"/>
          <c:extLst>
            <c:ext xmlns:c16="http://schemas.microsoft.com/office/drawing/2014/chart" uri="{C3380CC4-5D6E-409C-BE32-E72D297353CC}">
              <c16:uniqueId val="{00000004-D35C-43F8-A80A-23E7BE4751AB}"/>
            </c:ext>
          </c:extLst>
        </c:ser>
        <c:dLbls>
          <c:showLegendKey val="0"/>
          <c:showVal val="1"/>
          <c:showCatName val="0"/>
          <c:showSerName val="0"/>
          <c:showPercent val="0"/>
          <c:showBubbleSize val="0"/>
        </c:dLbls>
        <c:marker val="1"/>
        <c:smooth val="0"/>
        <c:axId val="163490304"/>
        <c:axId val="195693952"/>
      </c:lineChart>
      <c:catAx>
        <c:axId val="163490304"/>
        <c:scaling>
          <c:orientation val="minMax"/>
        </c:scaling>
        <c:delete val="0"/>
        <c:axPos val="b"/>
        <c:numFmt formatCode="General" sourceLinked="1"/>
        <c:majorTickMark val="none"/>
        <c:minorTickMark val="none"/>
        <c:tickLblPos val="nextTo"/>
        <c:crossAx val="195693952"/>
        <c:crosses val="autoZero"/>
        <c:auto val="1"/>
        <c:lblAlgn val="ctr"/>
        <c:lblOffset val="100"/>
        <c:noMultiLvlLbl val="0"/>
      </c:catAx>
      <c:valAx>
        <c:axId val="195693952"/>
        <c:scaling>
          <c:orientation val="minMax"/>
        </c:scaling>
        <c:delete val="0"/>
        <c:axPos val="l"/>
        <c:majorGridlines/>
        <c:numFmt formatCode="General" sourceLinked="1"/>
        <c:majorTickMark val="none"/>
        <c:minorTickMark val="none"/>
        <c:tickLblPos val="nextTo"/>
        <c:crossAx val="163490304"/>
        <c:crosses val="autoZero"/>
        <c:crossBetween val="between"/>
      </c:valAx>
    </c:plotArea>
    <c:legend>
      <c:legendPos val="r"/>
      <c:overlay val="0"/>
    </c:legend>
    <c:plotVisOnly val="1"/>
    <c:dispBlanksAs val="gap"/>
    <c:showDLblsOverMax val="0"/>
  </c:chart>
  <c:spPr>
    <a:solidFill>
      <a:schemeClr val="tx2">
        <a:lumMod val="20000"/>
        <a:lumOff val="8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pPr>
            <a:r>
              <a:rPr lang="he-IL" sz="1200"/>
              <a:t>זהות העובדים שנהרגו בתאונות עבודה בבנין - מחצית ראשונה 2019</a:t>
            </a:r>
          </a:p>
        </c:rich>
      </c:tx>
      <c:layout>
        <c:manualLayout>
          <c:xMode val="edge"/>
          <c:yMode val="edge"/>
          <c:x val="0.16797556569069197"/>
          <c:y val="0"/>
        </c:manualLayout>
      </c:layout>
      <c:overlay val="0"/>
    </c:title>
    <c:autoTitleDeleted val="0"/>
    <c:plotArea>
      <c:layout>
        <c:manualLayout>
          <c:layoutTarget val="inner"/>
          <c:xMode val="edge"/>
          <c:yMode val="edge"/>
          <c:x val="0.29690962352970829"/>
          <c:y val="0.14751089998047764"/>
          <c:w val="0.38661887037145237"/>
          <c:h val="0.8133552176501353"/>
        </c:manualLayout>
      </c:layout>
      <c:pieChart>
        <c:varyColors val="1"/>
        <c:ser>
          <c:idx val="0"/>
          <c:order val="0"/>
          <c:tx>
            <c:strRef>
              <c:f>Sheet1!$B$1</c:f>
              <c:strCache>
                <c:ptCount val="1"/>
                <c:pt idx="0">
                  <c:v>זהות העובדים שנהרגו בתאונות עבודה בבנין - מחצית ראשונה 2019</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יהודים (6)</c:v>
                </c:pt>
                <c:pt idx="1">
                  <c:v>ערבים (7)</c:v>
                </c:pt>
                <c:pt idx="2">
                  <c:v>פלסטינים (6)</c:v>
                </c:pt>
                <c:pt idx="3">
                  <c:v>זרים (5)</c:v>
                </c:pt>
              </c:strCache>
            </c:strRef>
          </c:cat>
          <c:val>
            <c:numRef>
              <c:f>Sheet1!$B$2:$B$5</c:f>
              <c:numCache>
                <c:formatCode>General</c:formatCode>
                <c:ptCount val="4"/>
                <c:pt idx="0">
                  <c:v>6</c:v>
                </c:pt>
                <c:pt idx="1">
                  <c:v>7</c:v>
                </c:pt>
                <c:pt idx="2">
                  <c:v>6</c:v>
                </c:pt>
                <c:pt idx="3">
                  <c:v>5</c:v>
                </c:pt>
              </c:numCache>
            </c:numRef>
          </c:val>
          <c:extLst>
            <c:ext xmlns:c16="http://schemas.microsoft.com/office/drawing/2014/chart" uri="{C3380CC4-5D6E-409C-BE32-E72D297353CC}">
              <c16:uniqueId val="{00000000-B254-47E8-8B38-B7FF535CDDF2}"/>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tx2">
        <a:lumMod val="20000"/>
        <a:lumOff val="80000"/>
      </a:schemeClr>
    </a:solidFill>
  </c:spPr>
  <c:txPr>
    <a:bodyPr/>
    <a:lstStyle/>
    <a:p>
      <a:pPr>
        <a:defRPr sz="1000"/>
      </a:pPr>
      <a:endParaRPr lang="en-I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he-IL" sz="1200"/>
              <a:t>תאונות עבודה קטלניות לפי גורמי היפגעות - מחצית ראשונה 2019</a:t>
            </a:r>
          </a:p>
        </c:rich>
      </c:tx>
      <c:layout>
        <c:manualLayout>
          <c:xMode val="edge"/>
          <c:yMode val="edge"/>
          <c:x val="0.14772008984770321"/>
          <c:y val="9.4250706880301596E-3"/>
        </c:manualLayout>
      </c:layout>
      <c:overlay val="0"/>
    </c:title>
    <c:autoTitleDeleted val="0"/>
    <c:plotArea>
      <c:layout>
        <c:manualLayout>
          <c:layoutTarget val="inner"/>
          <c:xMode val="edge"/>
          <c:yMode val="edge"/>
          <c:x val="0.30991090049116049"/>
          <c:y val="0.20976054954733331"/>
          <c:w val="0.37405800328046124"/>
          <c:h val="0.77300562805275386"/>
        </c:manualLayout>
      </c:layout>
      <c:pieChart>
        <c:varyColors val="1"/>
        <c:ser>
          <c:idx val="0"/>
          <c:order val="0"/>
          <c:tx>
            <c:strRef>
              <c:f>Sheet1!$B$1</c:f>
              <c:strCache>
                <c:ptCount val="1"/>
                <c:pt idx="0">
                  <c:v>תאונות עבודה קטלניות לפי גורמי היפגעות - מחצית ראשונה 2019</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נפילה מגובה</c:v>
                </c:pt>
                <c:pt idx="1">
                  <c:v>חפץ כבד</c:v>
                </c:pt>
                <c:pt idx="2">
                  <c:v>קריסה</c:v>
                </c:pt>
                <c:pt idx="3">
                  <c:v>רכב עבודה</c:v>
                </c:pt>
                <c:pt idx="4">
                  <c:v>התחשמלות</c:v>
                </c:pt>
                <c:pt idx="5">
                  <c:v>לכידה במכונה</c:v>
                </c:pt>
              </c:strCache>
            </c:strRef>
          </c:cat>
          <c:val>
            <c:numRef>
              <c:f>Sheet1!$B$2:$B$7</c:f>
              <c:numCache>
                <c:formatCode>General</c:formatCode>
                <c:ptCount val="6"/>
                <c:pt idx="0">
                  <c:v>15</c:v>
                </c:pt>
                <c:pt idx="1">
                  <c:v>10</c:v>
                </c:pt>
                <c:pt idx="2">
                  <c:v>3</c:v>
                </c:pt>
                <c:pt idx="3">
                  <c:v>7</c:v>
                </c:pt>
                <c:pt idx="4">
                  <c:v>2</c:v>
                </c:pt>
                <c:pt idx="5">
                  <c:v>1</c:v>
                </c:pt>
              </c:numCache>
            </c:numRef>
          </c:val>
          <c:extLst>
            <c:ext xmlns:c16="http://schemas.microsoft.com/office/drawing/2014/chart" uri="{C3380CC4-5D6E-409C-BE32-E72D297353CC}">
              <c16:uniqueId val="{00000000-8AAE-4499-9683-7071B509D40E}"/>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tx2">
        <a:lumMod val="20000"/>
        <a:lumOff val="8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he-IL" sz="1200"/>
              <a:t>גורמי היפגעות בתאונות קטלניות בבנין </a:t>
            </a:r>
          </a:p>
          <a:p>
            <a:pPr rtl="1">
              <a:defRPr sz="1200"/>
            </a:pPr>
            <a:r>
              <a:rPr lang="he-IL" sz="1200"/>
              <a:t>- במחצית הראשונה 2019</a:t>
            </a:r>
          </a:p>
        </c:rich>
      </c:tx>
      <c:overlay val="0"/>
    </c:title>
    <c:autoTitleDeleted val="0"/>
    <c:plotArea>
      <c:layout>
        <c:manualLayout>
          <c:layoutTarget val="inner"/>
          <c:xMode val="edge"/>
          <c:yMode val="edge"/>
          <c:x val="0.29769165395287878"/>
          <c:y val="0.31196783380800802"/>
          <c:w val="0.3838104502216807"/>
          <c:h val="0.6279792260010052"/>
        </c:manualLayout>
      </c:layout>
      <c:pieChart>
        <c:varyColors val="1"/>
        <c:ser>
          <c:idx val="0"/>
          <c:order val="0"/>
          <c:tx>
            <c:strRef>
              <c:f>Sheet1!$B$1</c:f>
              <c:strCache>
                <c:ptCount val="1"/>
                <c:pt idx="0">
                  <c:v>גורמי היפגעות בתאונות קטלניות בבנין</c:v>
                </c:pt>
              </c:strCache>
            </c:strRef>
          </c:tx>
          <c:dLbls>
            <c:spPr>
              <a:noFill/>
              <a:ln>
                <a:noFill/>
              </a:ln>
              <a:effectLst/>
            </c:spPr>
            <c:txPr>
              <a:bodyPr/>
              <a:lstStyle/>
              <a:p>
                <a:pPr>
                  <a:defRPr sz="900">
                    <a:latin typeface="Arial" panose="020B0604020202020204" pitchFamily="34" charset="0"/>
                    <a:cs typeface="Arial" panose="020B0604020202020204" pitchFamily="34" charset="0"/>
                  </a:defRPr>
                </a:pPr>
                <a:endParaRPr lang="en-IL"/>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Sheet1!$A$2:$A$6</c:f>
              <c:strCache>
                <c:ptCount val="5"/>
                <c:pt idx="0">
                  <c:v>נפילה מגובה</c:v>
                </c:pt>
                <c:pt idx="1">
                  <c:v>פגיעה מחפץ כבד</c:v>
                </c:pt>
                <c:pt idx="2">
                  <c:v>קריסה/התמוטטות</c:v>
                </c:pt>
                <c:pt idx="3">
                  <c:v>מעורבות רכב עבודה</c:v>
                </c:pt>
                <c:pt idx="4">
                  <c:v>התחשמלות</c:v>
                </c:pt>
              </c:strCache>
            </c:strRef>
          </c:cat>
          <c:val>
            <c:numRef>
              <c:f>Sheet1!$B$2:$B$6</c:f>
              <c:numCache>
                <c:formatCode>General</c:formatCode>
                <c:ptCount val="5"/>
                <c:pt idx="0">
                  <c:v>10</c:v>
                </c:pt>
                <c:pt idx="1">
                  <c:v>5</c:v>
                </c:pt>
                <c:pt idx="2">
                  <c:v>3</c:v>
                </c:pt>
                <c:pt idx="3">
                  <c:v>1</c:v>
                </c:pt>
                <c:pt idx="4">
                  <c:v>1</c:v>
                </c:pt>
              </c:numCache>
            </c:numRef>
          </c:val>
          <c:extLst>
            <c:ext xmlns:c16="http://schemas.microsoft.com/office/drawing/2014/chart" uri="{C3380CC4-5D6E-409C-BE32-E72D297353CC}">
              <c16:uniqueId val="{00000000-005D-4FE1-A31D-72CCE22A3A3E}"/>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tx2">
        <a:lumMod val="20000"/>
        <a:lumOff val="80000"/>
      </a:schemeClr>
    </a:solidFill>
  </c:spPr>
  <c:externalData r:id="rId1">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44574-D429-47FE-B96B-D4694093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2119</Words>
  <Characters>12083</Characters>
  <Application>Microsoft Office Word</Application>
  <DocSecurity>0</DocSecurity>
  <Lines>100</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לכבוד</vt:lpstr>
      <vt:lpstr>לכבוד</vt:lpstr>
    </vt:vector>
  </TitlesOfParts>
  <Company>ms</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לכבוד</dc:title>
  <dc:creator>Gadeer Nicola</dc:creator>
  <cp:lastModifiedBy>User</cp:lastModifiedBy>
  <cp:revision>2</cp:revision>
  <cp:lastPrinted>2019-06-26T12:52:00Z</cp:lastPrinted>
  <dcterms:created xsi:type="dcterms:W3CDTF">2019-06-30T13:50:00Z</dcterms:created>
  <dcterms:modified xsi:type="dcterms:W3CDTF">2019-06-30T13:50:00Z</dcterms:modified>
</cp:coreProperties>
</file>